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96AD4">
      <w:bookmarkStart w:id="2" w:name="_GoBack"/>
      <w:bookmarkEnd w:id="2"/>
      <w:r>
        <w:pict>
          <v:shape id="_x0000_s2050" o:spid="_x0000_s2050" o:spt="75" alt="/Users/quella/Desktop/微信图片_20260612170238_189_46.jpg微信图片_20260612170238_189_46" type="#_x0000_t75" style="position:absolute;left:0pt;margin-left:0pt;margin-top:0pt;height:844.3pt;width:596.8pt;mso-position-horizontal-relative:page;mso-position-vertical-relative:page;z-index:-251651072;mso-width-relative:page;mso-height-relative:page;" filled="f" o:preferrelative="t" stroked="f" coordsize="21600,21600">
            <v:path/>
            <v:fill on="f" focussize="0,0"/>
            <v:stroke on="f"/>
            <v:imagedata r:id="rId4" croptop="6714f" cropbottom="6714f" o:title="微信图片_20260612170238_189_46"/>
            <o:lock v:ext="edit" aspectratio="t"/>
          </v:shape>
        </w:pict>
      </w:r>
    </w:p>
    <w:p w14:paraId="5CFD2850">
      <w:pPr>
        <w:spacing w:line="0" w:lineRule="atLeast"/>
        <w:rPr>
          <w:rFonts w:hint="eastAsia" w:ascii="微软雅黑" w:hAnsi="微软雅黑" w:eastAsia="微软雅黑" w:cs="Arial"/>
          <w:kern w:val="0"/>
          <w:sz w:val="18"/>
          <w:szCs w:val="18"/>
          <w:lang w:eastAsia="zh-CN"/>
        </w:rPr>
        <w:sectPr>
          <w:pgSz w:w="11906" w:h="16838"/>
          <w:pgMar w:top="720" w:right="720" w:bottom="720" w:left="72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DE5FAF6">
      <w:pPr>
        <w:spacing w:line="0" w:lineRule="atLeast"/>
        <w:rPr>
          <w:rFonts w:ascii="微软雅黑" w:hAnsi="微软雅黑" w:eastAsia="微软雅黑" w:cs="Arial"/>
          <w:kern w:val="0"/>
          <w:sz w:val="18"/>
          <w:szCs w:val="18"/>
        </w:rPr>
      </w:pPr>
      <w:r>
        <w:rPr>
          <w:sz w:val="18"/>
          <w:szCs w:val="18"/>
        </w:rPr>
        <w:drawing>
          <wp:anchor distT="0" distB="0" distL="114300" distR="114300" simplePos="0" relativeHeight="251667456" behindDoc="0" locked="0" layoutInCell="1" allowOverlap="1">
            <wp:simplePos x="0" y="0"/>
            <wp:positionH relativeFrom="column">
              <wp:posOffset>2569210</wp:posOffset>
            </wp:positionH>
            <wp:positionV relativeFrom="paragraph">
              <wp:posOffset>-48895</wp:posOffset>
            </wp:positionV>
            <wp:extent cx="1600200" cy="589915"/>
            <wp:effectExtent l="0" t="0" r="0" b="19685"/>
            <wp:wrapNone/>
            <wp:docPr id="117" name="图片 117" descr="20101119a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0101119alalogo"/>
                    <pic:cNvPicPr>
                      <a:picLocks noChangeAspect="1" noChangeArrowheads="1"/>
                    </pic:cNvPicPr>
                  </pic:nvPicPr>
                  <pic:blipFill>
                    <a:blip r:embed="rId5" cstate="print"/>
                    <a:srcRect/>
                    <a:stretch>
                      <a:fillRect/>
                    </a:stretch>
                  </pic:blipFill>
                  <pic:spPr>
                    <a:xfrm>
                      <a:off x="0" y="0"/>
                      <a:ext cx="1600200" cy="589915"/>
                    </a:xfrm>
                    <a:prstGeom prst="rect">
                      <a:avLst/>
                    </a:prstGeom>
                    <a:noFill/>
                    <a:ln w="9525">
                      <a:noFill/>
                      <a:miter lim="800000"/>
                      <a:headEnd/>
                      <a:tailEnd/>
                    </a:ln>
                  </pic:spPr>
                </pic:pic>
              </a:graphicData>
            </a:graphic>
          </wp:anchor>
        </w:drawing>
      </w:r>
    </w:p>
    <w:p w14:paraId="5FA17752">
      <w:pPr>
        <w:spacing w:line="0" w:lineRule="atLeast"/>
        <w:rPr>
          <w:rFonts w:ascii="微软雅黑" w:hAnsi="微软雅黑" w:eastAsia="微软雅黑" w:cs="Arial"/>
          <w:kern w:val="0"/>
          <w:sz w:val="18"/>
          <w:szCs w:val="18"/>
        </w:rPr>
      </w:pPr>
    </w:p>
    <w:p w14:paraId="7410706E">
      <w:pPr>
        <w:spacing w:line="0" w:lineRule="atLeast"/>
        <w:rPr>
          <w:rFonts w:ascii="微软雅黑" w:hAnsi="微软雅黑" w:eastAsia="微软雅黑" w:cs="Arial"/>
          <w:kern w:val="0"/>
          <w:sz w:val="18"/>
          <w:szCs w:val="18"/>
        </w:rPr>
      </w:pPr>
      <w:r>
        <w:rPr>
          <w:rFonts w:ascii="微软雅黑" w:hAnsi="微软雅黑" w:eastAsia="微软雅黑" w:cs="Arial"/>
          <w:kern w:val="0"/>
          <w:sz w:val="18"/>
          <w:szCs w:val="18"/>
        </w:rPr>
        <mc:AlternateContent>
          <mc:Choice Requires="wps">
            <w:drawing>
              <wp:anchor distT="0" distB="0" distL="114300" distR="114300" simplePos="0" relativeHeight="251666432" behindDoc="0" locked="0" layoutInCell="1" allowOverlap="1">
                <wp:simplePos x="0" y="0"/>
                <wp:positionH relativeFrom="column">
                  <wp:posOffset>-442595</wp:posOffset>
                </wp:positionH>
                <wp:positionV relativeFrom="paragraph">
                  <wp:posOffset>139065</wp:posOffset>
                </wp:positionV>
                <wp:extent cx="7539990" cy="629920"/>
                <wp:effectExtent l="0" t="0" r="0" b="0"/>
                <wp:wrapNone/>
                <wp:docPr id="6" name="文本框 89"/>
                <wp:cNvGraphicFramePr/>
                <a:graphic xmlns:a="http://schemas.openxmlformats.org/drawingml/2006/main">
                  <a:graphicData uri="http://schemas.microsoft.com/office/word/2010/wordprocessingShape">
                    <wps:wsp>
                      <wps:cNvSpPr txBox="1"/>
                      <wps:spPr>
                        <a:xfrm>
                          <a:off x="0" y="0"/>
                          <a:ext cx="7539990" cy="629920"/>
                        </a:xfrm>
                        <a:prstGeom prst="rect">
                          <a:avLst/>
                        </a:prstGeom>
                        <a:noFill/>
                        <a:ln>
                          <a:noFill/>
                        </a:ln>
                      </wps:spPr>
                      <wps:txbx>
                        <w:txbxContent>
                          <w:p w14:paraId="3D26E796">
                            <w:pPr>
                              <w:spacing w:line="0" w:lineRule="atLeast"/>
                              <w:jc w:val="center"/>
                              <w:rPr>
                                <w:rFonts w:hint="eastAsia" w:ascii="微软雅黑" w:hAnsi="微软雅黑" w:eastAsia="微软雅黑"/>
                                <w:b/>
                                <w:color w:val="C00000"/>
                                <w:sz w:val="52"/>
                                <w:szCs w:val="52"/>
                                <w:lang w:eastAsia="zh-CN"/>
                              </w:rPr>
                            </w:pPr>
                            <w:r>
                              <w:rPr>
                                <w:rFonts w:hint="eastAsia" w:ascii="微软雅黑" w:hAnsi="微软雅黑" w:eastAsia="微软雅黑"/>
                                <w:b/>
                                <w:color w:val="C00000"/>
                                <w:sz w:val="52"/>
                                <w:szCs w:val="52"/>
                                <w:lang w:val="en-US" w:eastAsia="zh-CN"/>
                              </w:rPr>
                              <w:t>2026年(第21届)</w:t>
                            </w:r>
                            <w:r>
                              <w:rPr>
                                <w:rFonts w:hint="eastAsia" w:ascii="微软雅黑" w:hAnsi="微软雅黑" w:eastAsia="微软雅黑"/>
                                <w:b/>
                                <w:color w:val="C00000"/>
                                <w:sz w:val="52"/>
                                <w:szCs w:val="52"/>
                              </w:rPr>
                              <w:t>中国铝业</w:t>
                            </w:r>
                            <w:r>
                              <w:rPr>
                                <w:rFonts w:hint="eastAsia" w:ascii="微软雅黑" w:hAnsi="微软雅黑" w:eastAsia="微软雅黑"/>
                                <w:b/>
                                <w:color w:val="C00000"/>
                                <w:sz w:val="52"/>
                                <w:szCs w:val="52"/>
                                <w:lang w:eastAsia="zh-CN"/>
                              </w:rPr>
                              <w:t>峰</w:t>
                            </w:r>
                            <w:r>
                              <w:rPr>
                                <w:rFonts w:hint="eastAsia" w:ascii="微软雅黑" w:hAnsi="微软雅黑" w:eastAsia="微软雅黑"/>
                                <w:b/>
                                <w:color w:val="C00000"/>
                                <w:sz w:val="52"/>
                                <w:szCs w:val="52"/>
                              </w:rPr>
                              <w:t>会</w:t>
                            </w:r>
                            <w:r>
                              <w:rPr>
                                <w:rFonts w:hint="eastAsia" w:ascii="微软雅黑" w:hAnsi="微软雅黑" w:eastAsia="微软雅黑"/>
                                <w:b/>
                                <w:color w:val="C00000"/>
                                <w:sz w:val="52"/>
                                <w:szCs w:val="52"/>
                                <w:lang w:eastAsia="zh-CN"/>
                              </w:rPr>
                              <w:t>邀请函</w:t>
                            </w:r>
                          </w:p>
                          <w:p w14:paraId="7C729C57">
                            <w:pPr>
                              <w:spacing w:line="0" w:lineRule="atLeast"/>
                              <w:jc w:val="center"/>
                              <w:rPr>
                                <w:rFonts w:ascii="微软雅黑" w:hAnsi="微软雅黑" w:eastAsia="微软雅黑"/>
                                <w:b/>
                                <w:color w:val="C00000"/>
                                <w:sz w:val="52"/>
                                <w:szCs w:val="52"/>
                              </w:rPr>
                            </w:pPr>
                          </w:p>
                        </w:txbxContent>
                      </wps:txbx>
                      <wps:bodyPr wrap="square" upright="1"/>
                    </wps:wsp>
                  </a:graphicData>
                </a:graphic>
              </wp:anchor>
            </w:drawing>
          </mc:Choice>
          <mc:Fallback>
            <w:pict>
              <v:shape id="文本框 89" o:spid="_x0000_s1026" o:spt="202" type="#_x0000_t202" style="position:absolute;left:0pt;margin-left:-34.85pt;margin-top:10.95pt;height:49.6pt;width:593.7pt;z-index:251666432;mso-width-relative:page;mso-height-relative:page;" filled="f" stroked="f" coordsize="21600,21600" o:gfxdata="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XuJMnXAAAACwEAAA8AAAAAAAAAAQAgAAAAIgAAAGRycy9kb3ducmV2LnhtbFBLAQIUABQA&#10;AAAIAIdO4kAi3LqKuAEAAF0DAAAOAAAAAAAAAAEAIAAAACYBAABkcnMvZTJvRG9jLnhtbFBLBQYA&#10;AAAABgAGAFkBAABQBQAAAAA=&#10;">
                <v:fill on="f" focussize="0,0"/>
                <v:stroke on="f"/>
                <v:imagedata o:title=""/>
                <o:lock v:ext="edit" aspectratio="f"/>
                <v:textbox>
                  <w:txbxContent>
                    <w:p w14:paraId="3D26E796">
                      <w:pPr>
                        <w:spacing w:line="0" w:lineRule="atLeast"/>
                        <w:jc w:val="center"/>
                        <w:rPr>
                          <w:rFonts w:hint="eastAsia" w:ascii="微软雅黑" w:hAnsi="微软雅黑" w:eastAsia="微软雅黑"/>
                          <w:b/>
                          <w:color w:val="C00000"/>
                          <w:sz w:val="52"/>
                          <w:szCs w:val="52"/>
                          <w:lang w:eastAsia="zh-CN"/>
                        </w:rPr>
                      </w:pPr>
                      <w:r>
                        <w:rPr>
                          <w:rFonts w:hint="eastAsia" w:ascii="微软雅黑" w:hAnsi="微软雅黑" w:eastAsia="微软雅黑"/>
                          <w:b/>
                          <w:color w:val="C00000"/>
                          <w:sz w:val="52"/>
                          <w:szCs w:val="52"/>
                          <w:lang w:val="en-US" w:eastAsia="zh-CN"/>
                        </w:rPr>
                        <w:t>2026年(第21届)</w:t>
                      </w:r>
                      <w:r>
                        <w:rPr>
                          <w:rFonts w:hint="eastAsia" w:ascii="微软雅黑" w:hAnsi="微软雅黑" w:eastAsia="微软雅黑"/>
                          <w:b/>
                          <w:color w:val="C00000"/>
                          <w:sz w:val="52"/>
                          <w:szCs w:val="52"/>
                        </w:rPr>
                        <w:t>中国铝业</w:t>
                      </w:r>
                      <w:r>
                        <w:rPr>
                          <w:rFonts w:hint="eastAsia" w:ascii="微软雅黑" w:hAnsi="微软雅黑" w:eastAsia="微软雅黑"/>
                          <w:b/>
                          <w:color w:val="C00000"/>
                          <w:sz w:val="52"/>
                          <w:szCs w:val="52"/>
                          <w:lang w:eastAsia="zh-CN"/>
                        </w:rPr>
                        <w:t>峰</w:t>
                      </w:r>
                      <w:r>
                        <w:rPr>
                          <w:rFonts w:hint="eastAsia" w:ascii="微软雅黑" w:hAnsi="微软雅黑" w:eastAsia="微软雅黑"/>
                          <w:b/>
                          <w:color w:val="C00000"/>
                          <w:sz w:val="52"/>
                          <w:szCs w:val="52"/>
                        </w:rPr>
                        <w:t>会</w:t>
                      </w:r>
                      <w:r>
                        <w:rPr>
                          <w:rFonts w:hint="eastAsia" w:ascii="微软雅黑" w:hAnsi="微软雅黑" w:eastAsia="微软雅黑"/>
                          <w:b/>
                          <w:color w:val="C00000"/>
                          <w:sz w:val="52"/>
                          <w:szCs w:val="52"/>
                          <w:lang w:eastAsia="zh-CN"/>
                        </w:rPr>
                        <w:t>邀请函</w:t>
                      </w:r>
                    </w:p>
                    <w:p w14:paraId="7C729C57">
                      <w:pPr>
                        <w:spacing w:line="0" w:lineRule="atLeast"/>
                        <w:jc w:val="center"/>
                        <w:rPr>
                          <w:rFonts w:ascii="微软雅黑" w:hAnsi="微软雅黑" w:eastAsia="微软雅黑"/>
                          <w:b/>
                          <w:color w:val="C00000"/>
                          <w:sz w:val="52"/>
                          <w:szCs w:val="52"/>
                        </w:rPr>
                      </w:pPr>
                    </w:p>
                  </w:txbxContent>
                </v:textbox>
              </v:shape>
            </w:pict>
          </mc:Fallback>
        </mc:AlternateContent>
      </w:r>
    </w:p>
    <w:p w14:paraId="55A0205D">
      <w:pPr>
        <w:spacing w:line="0" w:lineRule="atLeast"/>
        <w:rPr>
          <w:rFonts w:ascii="微软雅黑" w:hAnsi="微软雅黑" w:eastAsia="微软雅黑" w:cs="Arial"/>
          <w:kern w:val="0"/>
          <w:sz w:val="18"/>
          <w:szCs w:val="18"/>
        </w:rPr>
      </w:pPr>
    </w:p>
    <w:p w14:paraId="50582031">
      <w:pPr>
        <w:spacing w:line="0" w:lineRule="atLeast"/>
        <w:rPr>
          <w:rFonts w:ascii="微软雅黑" w:hAnsi="微软雅黑" w:eastAsia="微软雅黑" w:cs="Arial"/>
          <w:kern w:val="0"/>
          <w:sz w:val="18"/>
          <w:szCs w:val="18"/>
        </w:rPr>
      </w:pPr>
    </w:p>
    <w:p w14:paraId="68512F17">
      <w:pPr>
        <w:spacing w:line="0" w:lineRule="atLeast"/>
        <w:rPr>
          <w:rFonts w:ascii="微软雅黑" w:hAnsi="微软雅黑" w:eastAsia="微软雅黑" w:cs="Arial"/>
          <w:kern w:val="0"/>
          <w:sz w:val="18"/>
          <w:szCs w:val="18"/>
        </w:rPr>
      </w:pPr>
    </w:p>
    <w:p w14:paraId="4306C5B1">
      <w:pPr>
        <w:spacing w:line="0" w:lineRule="atLeast"/>
        <w:jc w:val="right"/>
        <w:rPr>
          <w:rFonts w:ascii="微软雅黑" w:hAnsi="微软雅黑" w:eastAsia="微软雅黑" w:cs="Arial"/>
          <w:kern w:val="0"/>
          <w:sz w:val="18"/>
          <w:szCs w:val="18"/>
        </w:rPr>
      </w:pPr>
      <w:r>
        <w:rPr>
          <w:rFonts w:ascii="微软雅黑" w:hAnsi="微软雅黑" w:eastAsia="微软雅黑" w:cs="Arial"/>
          <w:kern w:val="0"/>
          <w:sz w:val="24"/>
        </w:rPr>
        <w:t>20</w:t>
      </w:r>
      <w:r>
        <w:rPr>
          <w:rFonts w:hint="eastAsia" w:ascii="微软雅黑" w:hAnsi="微软雅黑" w:eastAsia="微软雅黑" w:cs="Arial"/>
          <w:kern w:val="0"/>
          <w:sz w:val="24"/>
        </w:rPr>
        <w:t>2</w:t>
      </w:r>
      <w:r>
        <w:rPr>
          <w:rFonts w:hint="eastAsia" w:ascii="微软雅黑" w:hAnsi="微软雅黑" w:eastAsia="微软雅黑" w:cs="Arial"/>
          <w:kern w:val="0"/>
          <w:sz w:val="24"/>
          <w:lang w:val="en-US" w:eastAsia="zh-CN"/>
        </w:rPr>
        <w:t>6</w:t>
      </w:r>
      <w:r>
        <w:rPr>
          <w:rFonts w:hint="eastAsia" w:ascii="微软雅黑" w:hAnsi="微软雅黑" w:eastAsia="微软雅黑" w:cs="Arial"/>
          <w:kern w:val="0"/>
          <w:sz w:val="24"/>
        </w:rPr>
        <w:t>年</w:t>
      </w:r>
      <w:r>
        <w:rPr>
          <w:rFonts w:hint="eastAsia" w:ascii="微软雅黑" w:hAnsi="微软雅黑" w:eastAsia="微软雅黑" w:cs="Arial"/>
          <w:kern w:val="0"/>
          <w:sz w:val="24"/>
          <w:lang w:val="en-US" w:eastAsia="zh-CN"/>
        </w:rPr>
        <w:t>8</w:t>
      </w:r>
      <w:r>
        <w:rPr>
          <w:rFonts w:hint="eastAsia" w:ascii="微软雅黑" w:hAnsi="微软雅黑" w:eastAsia="微软雅黑" w:cs="Arial"/>
          <w:kern w:val="0"/>
          <w:sz w:val="24"/>
        </w:rPr>
        <w:t>月</w:t>
      </w:r>
      <w:r>
        <w:rPr>
          <w:rFonts w:hint="eastAsia" w:ascii="微软雅黑" w:hAnsi="微软雅黑" w:eastAsia="微软雅黑" w:cs="Arial"/>
          <w:kern w:val="0"/>
          <w:sz w:val="24"/>
          <w:lang w:val="en-US" w:eastAsia="zh-CN"/>
        </w:rPr>
        <w:t>19</w:t>
      </w:r>
      <w:r>
        <w:rPr>
          <w:rFonts w:ascii="微软雅黑" w:hAnsi="微软雅黑" w:eastAsia="微软雅黑" w:cs="Arial"/>
          <w:kern w:val="0"/>
          <w:sz w:val="24"/>
        </w:rPr>
        <w:t>-</w:t>
      </w:r>
      <w:r>
        <w:rPr>
          <w:rFonts w:hint="eastAsia" w:ascii="微软雅黑" w:hAnsi="微软雅黑" w:eastAsia="微软雅黑" w:cs="Arial"/>
          <w:kern w:val="0"/>
          <w:sz w:val="24"/>
          <w:lang w:val="en-US" w:eastAsia="zh-CN"/>
        </w:rPr>
        <w:t>21</w:t>
      </w:r>
      <w:r>
        <w:rPr>
          <w:rFonts w:hint="eastAsia" w:ascii="微软雅黑" w:hAnsi="微软雅黑" w:eastAsia="微软雅黑" w:cs="Arial"/>
          <w:kern w:val="0"/>
          <w:sz w:val="24"/>
        </w:rPr>
        <w:t xml:space="preserve">日 </w:t>
      </w:r>
      <w:r>
        <w:rPr>
          <w:rFonts w:hint="eastAsia" w:ascii="微软雅黑" w:hAnsi="微软雅黑" w:eastAsia="微软雅黑" w:cs="Arial"/>
          <w:kern w:val="0"/>
          <w:sz w:val="24"/>
          <w:lang w:val="en-US" w:eastAsia="zh-CN"/>
        </w:rPr>
        <w:t>山东</w:t>
      </w:r>
      <w:r>
        <w:rPr>
          <w:rFonts w:hint="eastAsia" w:ascii="微软雅黑" w:hAnsi="微软雅黑" w:eastAsia="微软雅黑" w:cs="Arial"/>
          <w:b/>
          <w:bCs/>
          <w:kern w:val="0"/>
          <w:sz w:val="24"/>
          <w:lang w:val="en-US" w:eastAsia="zh-CN"/>
        </w:rPr>
        <w:t>·</w:t>
      </w:r>
      <w:r>
        <w:rPr>
          <w:rFonts w:hint="eastAsia" w:ascii="微软雅黑" w:hAnsi="微软雅黑" w:eastAsia="微软雅黑" w:cs="Arial"/>
          <w:b w:val="0"/>
          <w:bCs w:val="0"/>
          <w:kern w:val="0"/>
          <w:sz w:val="24"/>
          <w:lang w:val="en-US" w:eastAsia="zh-CN"/>
        </w:rPr>
        <w:t>青岛</w:t>
      </w:r>
    </w:p>
    <w:p w14:paraId="65EBC976">
      <w:pPr>
        <w:spacing w:line="0" w:lineRule="atLeast"/>
        <w:rPr>
          <w:rFonts w:ascii="微软雅黑" w:hAnsi="微软雅黑" w:eastAsia="微软雅黑" w:cs="Arial"/>
          <w:kern w:val="0"/>
          <w:sz w:val="18"/>
          <w:szCs w:val="18"/>
        </w:rPr>
      </w:pPr>
    </w:p>
    <w:p w14:paraId="43CFAB44">
      <w:pPr>
        <w:spacing w:line="360" w:lineRule="exact"/>
        <w:jc w:val="left"/>
        <w:rPr>
          <w:rFonts w:ascii="方正兰亭准黑_GBK" w:eastAsia="方正兰亭准黑_GBK"/>
          <w:color w:val="FFFFFF" w:themeColor="background1"/>
          <w:sz w:val="28"/>
          <w:szCs w:val="28"/>
          <w:highlight w:val="darkGray"/>
          <w:shd w:val="clear" w:color="auto" w:fill="3F3F3F" w:themeFill="text1" w:themeFillTint="BF"/>
          <w14:textFill>
            <w14:solidFill>
              <w14:schemeClr w14:val="bg1"/>
            </w14:solidFill>
          </w14:textFill>
        </w:rPr>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会议背景</w:t>
      </w:r>
    </w:p>
    <w:p w14:paraId="045226D3">
      <w:pPr>
        <w:spacing w:before="156" w:beforeLines="50" w:line="360" w:lineRule="exact"/>
        <w:ind w:firstLine="480" w:firstLineChars="200"/>
        <w:rPr>
          <w:rFonts w:hint="eastAsia" w:ascii="黑体" w:hAnsi="黑体" w:eastAsia="黑体" w:cs="黑体"/>
          <w:sz w:val="24"/>
          <w:lang w:val="en-US" w:eastAsia="zh-CN"/>
        </w:rPr>
      </w:pPr>
      <w:r>
        <w:rPr>
          <w:rFonts w:hint="eastAsia" w:ascii="黑体" w:hAnsi="黑体" w:eastAsia="黑体" w:cs="黑体"/>
          <w:sz w:val="24"/>
          <w:lang w:val="en-US" w:eastAsia="zh-CN"/>
        </w:rPr>
        <w:t>2026年，中国铝产业在“十五五”规划与“双碳”战略的纵深推进中，正经历从规模驱动向效率驱动的关键跃迁。当前，氧化铝在产能释放与库存高企的双重压力下，价格持续在成本线附近徘徊；铝土矿对外依存度继续攀升，几内亚限量政策即将出台，进口矿资源保障韧性受到考验；电解铝加速高质量发展的过程中，面临成本管理和双碳考核的挑战；而铝加工环节虽在新能源与高端制造领域孕育新机，却也承受着加工费承压与同质化竞争的洗礼。面对产业链上下游协同效率亟待提升的行业共识，工信部等十部门在《铝产业高质量发展实施方案（2025-2027年）》中明确指出，亟需通过人工智能与数字技术的深度融合，破解生产工艺建模难、数据应用不足的痛点。值此产业变革之际，阿拉丁第21届中国铝业峰会定于8月19-21日在青岛举行。</w:t>
      </w:r>
    </w:p>
    <w:p w14:paraId="4C0AC6A9">
      <w:pPr>
        <w:spacing w:before="156" w:beforeLines="50" w:line="360" w:lineRule="exact"/>
        <w:ind w:firstLine="480" w:firstLineChars="200"/>
        <w:rPr>
          <w:rFonts w:hint="eastAsia" w:ascii="黑体" w:hAnsi="黑体" w:eastAsia="黑体" w:cs="黑体"/>
          <w:sz w:val="24"/>
          <w:lang w:val="en-US" w:eastAsia="zh-CN"/>
        </w:rPr>
      </w:pPr>
      <w:r>
        <w:rPr>
          <w:rFonts w:hint="eastAsia" w:ascii="黑体" w:hAnsi="黑体" w:eastAsia="黑体" w:cs="黑体"/>
          <w:sz w:val="24"/>
          <w:lang w:val="en-US" w:eastAsia="zh-CN"/>
        </w:rPr>
        <w:t>本届峰会以“AI赋能·数智铝行”为主题，旨在汇聚行业智慧，共同探讨人工智能技术重塑铝产业价值链的路径与前景。值此之际，还将正式推出阿拉丁AI智慧产业园项目，该项目以“ALD神灯”垂直大模型为核心，构建产业级赋能平台，以数字化与智能化技术驱动中国铝工业向高质量阶段跃升。“ALD神灯”系统基于阿拉丁自主研发的铝产业链大数据可视化智能分析平台“铝掌柜”所积累的全流程产业数据（涵盖铝土矿、氧化铝、电解铝、铝加工、消费及关联辅料等领域的行情、库存、产能、产量、开工率、成本与运费等维度），通过专业算法模型与场景化分析能力，贯通从上游资源至下游应用的信息屏障，为产业链各方提供行情分析、供需模拟、风险预警与策略优化等数据决策支持；并在实施层面拓展至生产排程与工艺参数优化、设备预测性维护、碳足迹追踪、物流调度优化等具体场景，依托“数据—模型—执行”的闭环机制，助力企业将行业数据切实转化为可操作的经营措施与降本增效成果。</w:t>
      </w:r>
    </w:p>
    <w:p w14:paraId="6F2251DA">
      <w:pPr>
        <w:spacing w:before="156" w:beforeLines="50" w:line="360" w:lineRule="exact"/>
        <w:ind w:firstLine="480" w:firstLineChars="200"/>
        <w:rPr>
          <w:rFonts w:hint="eastAsia" w:eastAsia="宋体"/>
          <w:lang w:eastAsia="zh-CN"/>
        </w:rPr>
      </w:pPr>
      <w:r>
        <w:rPr>
          <w:rFonts w:hint="eastAsia" w:ascii="黑体" w:hAnsi="黑体" w:eastAsia="黑体" w:cs="黑体"/>
          <w:sz w:val="24"/>
          <w:lang w:val="en-US" w:eastAsia="zh-CN"/>
        </w:rPr>
        <w:t>在此，诚邀各界同仁莅临青岛，共襄盛会、共商铝产业数智跃迁之大计。</w:t>
      </w:r>
    </w:p>
    <w:p w14:paraId="10EF2806">
      <w:pPr>
        <w:spacing w:before="156" w:beforeLines="50" w:line="360" w:lineRule="exact"/>
        <w:jc w:val="left"/>
        <w:rPr>
          <w:rFonts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主办单位</w:t>
      </w:r>
    </w:p>
    <w:p w14:paraId="32779366">
      <w:pPr>
        <w:spacing w:before="156" w:beforeLines="50" w:line="360" w:lineRule="exact"/>
        <w:ind w:firstLine="480" w:firstLineChars="200"/>
        <w:rPr>
          <w:rFonts w:hint="eastAsia" w:ascii="黑体" w:hAnsi="黑体" w:eastAsia="黑体" w:cs="黑体"/>
          <w:sz w:val="24"/>
          <w:lang w:val="en-US" w:eastAsia="zh-CN"/>
        </w:rPr>
      </w:pPr>
      <w:r>
        <w:rPr>
          <w:rFonts w:hint="eastAsia" w:ascii="黑体" w:hAnsi="黑体" w:eastAsia="黑体" w:cs="黑体"/>
          <w:sz w:val="24"/>
        </w:rPr>
        <w:t>北京阿拉丁中营商务咨询有限公司</w:t>
      </w:r>
    </w:p>
    <w:p w14:paraId="35EC0797">
      <w:pPr>
        <w:spacing w:before="156" w:beforeLines="50" w:line="360" w:lineRule="exact"/>
        <w:jc w:val="left"/>
        <w:rPr>
          <w:rFonts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参会主体</w:t>
      </w:r>
    </w:p>
    <w:p w14:paraId="2EEF7CA4">
      <w:pPr>
        <w:spacing w:before="156" w:beforeLines="50" w:line="360" w:lineRule="exact"/>
        <w:ind w:firstLine="480" w:firstLineChars="200"/>
        <w:rPr>
          <w:rFonts w:hint="eastAsia" w:ascii="黑体" w:hAnsi="黑体" w:eastAsia="黑体" w:cs="黑体"/>
          <w:sz w:val="24"/>
          <w:highlight w:val="none"/>
          <w:lang w:val="en-US" w:eastAsia="zh-CN"/>
        </w:rPr>
      </w:pPr>
      <w:r>
        <w:rPr>
          <w:rFonts w:hint="eastAsia" w:ascii="黑体" w:hAnsi="黑体" w:eastAsia="黑体" w:cs="黑体"/>
          <w:sz w:val="24"/>
          <w:highlight w:val="none"/>
          <w:lang w:val="en-US" w:eastAsia="zh-CN"/>
        </w:rPr>
        <w:t>国内外铝土矿、氧化铝、电解铝、铝棒、预焙阳极等冶炼及辅料(石油焦、煅烧焦、煤沥青、氟化铝、冰晶石、电解质等)生产经营企业的经营管理与购销负责人;再生铝、废铝回收、铝灰处置及危废资源化合规运营企业</w:t>
      </w:r>
      <w:r>
        <w:rPr>
          <w:rFonts w:hint="default" w:ascii="黑体" w:hAnsi="黑体" w:eastAsia="黑体" w:cs="黑体"/>
          <w:sz w:val="24"/>
          <w:highlight w:val="none"/>
          <w:lang w:val="en-US" w:eastAsia="zh-CN"/>
        </w:rPr>
        <w:t>；</w:t>
      </w:r>
      <w:r>
        <w:rPr>
          <w:rFonts w:hint="eastAsia" w:ascii="黑体" w:hAnsi="黑体" w:eastAsia="黑体" w:cs="黑体"/>
          <w:sz w:val="24"/>
          <w:highlight w:val="none"/>
          <w:lang w:val="en-US" w:eastAsia="zh-CN"/>
        </w:rPr>
        <w:t>铝挤压型材、铝板带箔、电工铝杆与线缆铝基材、压铸件与一体化压铸、易拉罐料、消费电子铝散热、半导体超高纯铝靶材、氢燃料电池铝双极板等铝加工与精深制造企业</w:t>
      </w:r>
      <w:r>
        <w:rPr>
          <w:rFonts w:hint="default" w:ascii="黑体" w:hAnsi="黑体" w:eastAsia="黑体" w:cs="黑体"/>
          <w:sz w:val="24"/>
          <w:highlight w:val="none"/>
          <w:lang w:val="en-US" w:eastAsia="zh-CN"/>
        </w:rPr>
        <w:t>的经营管理者与技术、采购、销售负责人；</w:t>
      </w:r>
      <w:r>
        <w:rPr>
          <w:rFonts w:hint="eastAsia" w:ascii="黑体" w:hAnsi="黑体" w:eastAsia="黑体" w:cs="黑体"/>
          <w:sz w:val="24"/>
          <w:highlight w:val="none"/>
          <w:lang w:val="en-US" w:eastAsia="zh-CN"/>
        </w:rPr>
        <w:t>光伏铝边框、储能液冷、新能源汽车轻量化部件、特高压线缆、轨道交通车体及建筑幕墙系统等铝消费端采购与供应链负责人</w:t>
      </w:r>
      <w:r>
        <w:rPr>
          <w:rFonts w:hint="default" w:ascii="黑体" w:hAnsi="黑体" w:eastAsia="黑体" w:cs="黑体"/>
          <w:sz w:val="24"/>
          <w:highlight w:val="none"/>
          <w:lang w:val="en-US" w:eastAsia="zh-CN"/>
        </w:rPr>
        <w:t>；</w:t>
      </w:r>
      <w:r>
        <w:rPr>
          <w:rFonts w:hint="eastAsia" w:ascii="黑体" w:hAnsi="黑体" w:eastAsia="黑体" w:cs="黑体"/>
          <w:sz w:val="24"/>
          <w:highlight w:val="none"/>
          <w:lang w:val="en-US" w:eastAsia="zh-CN"/>
        </w:rPr>
        <w:t>铝产业相关海内外投资、海运、铁路、公路、港口、仓储、站台、堆场及跨境关务/外贸合规服务企业；涉铝期货、期权、证券、基金、大宗商品贸易及银行信贷风控机构代表。</w:t>
      </w:r>
    </w:p>
    <w:p w14:paraId="2748B167">
      <w:pPr>
        <w:spacing w:before="156" w:beforeLines="50" w:line="360" w:lineRule="exact"/>
        <w:ind w:firstLine="480" w:firstLineChars="200"/>
        <w:rPr>
          <w:rFonts w:hint="eastAsia" w:ascii="方正兰亭准黑_GBK" w:eastAsia="方正兰亭准黑_GBK"/>
          <w:color w:val="FFFFFF" w:themeColor="background1"/>
          <w:sz w:val="28"/>
          <w:szCs w:val="28"/>
          <w:highlight w:val="none"/>
          <w:shd w:val="clear" w:color="auto" w:fill="3F3F3F" w:themeFill="text1" w:themeFillTint="BF"/>
          <w:lang w:val="en-US" w:eastAsia="zh-CN"/>
          <w14:textFill>
            <w14:solidFill>
              <w14:schemeClr w14:val="bg1"/>
            </w14:solidFill>
          </w14:textFill>
        </w:rPr>
      </w:pPr>
      <w:r>
        <w:rPr>
          <w:rFonts w:hint="default" w:ascii="黑体" w:hAnsi="黑体" w:eastAsia="黑体" w:cs="黑体"/>
          <w:sz w:val="24"/>
          <w:highlight w:val="none"/>
          <w:lang w:val="en-US" w:eastAsia="zh-CN"/>
        </w:rPr>
        <w:t>以及作为本届峰会【AI赋能·数智铝行】主题的核心对话方——</w:t>
      </w:r>
      <w:r>
        <w:rPr>
          <w:rFonts w:hint="eastAsia" w:ascii="黑体" w:hAnsi="黑体" w:eastAsia="黑体" w:cs="黑体"/>
          <w:sz w:val="24"/>
          <w:highlight w:val="none"/>
          <w:lang w:val="en-US" w:eastAsia="zh-CN"/>
        </w:rPr>
        <w:t>工业互联网平台商、工业大模型与数字孪生方案商、智能制造系统集成商、机器视觉/工业CT/光谱在线检测/工艺算法等工业AI企业，以及铝行业生产设备、环保装备与数字化转型技术服务商。</w:t>
      </w:r>
    </w:p>
    <w:p w14:paraId="1CD2D951">
      <w:pPr>
        <w:spacing w:before="156" w:beforeLines="50" w:line="360" w:lineRule="exact"/>
        <w:jc w:val="left"/>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指导单位</w:t>
      </w:r>
    </w:p>
    <w:p w14:paraId="48805BCC">
      <w:pPr>
        <w:rPr>
          <w:rFonts w:ascii="方正兰亭准黑_GBK" w:eastAsia="方正兰亭准黑_GBK"/>
          <w:color w:val="FFFFFF" w:themeColor="background1"/>
          <w:sz w:val="28"/>
          <w:szCs w:val="28"/>
          <w:highlight w:val="darkGray"/>
          <w:shd w:val="clear" w:color="auto" w:fill="3F3F3F" w:themeFill="text1" w:themeFillTint="BF"/>
          <w14:textFill>
            <w14:solidFill>
              <w14:schemeClr w14:val="bg1"/>
            </w14:solidFill>
          </w14:textFill>
        </w:rPr>
      </w:pPr>
      <w:r>
        <w:rPr>
          <w:sz w:val="21"/>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45085</wp:posOffset>
                </wp:positionV>
                <wp:extent cx="5779135" cy="3136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779135"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42570">
                            <w:pPr>
                              <w:rPr>
                                <w:rFonts w:ascii="方正兰亭准黑_GBK" w:eastAsia="方正兰亭准黑_GBK"/>
                                <w:color w:val="FFFFFF" w:themeColor="background1"/>
                                <w:sz w:val="28"/>
                                <w:szCs w:val="28"/>
                                <w:highlight w:val="darkGray"/>
                                <w:shd w:val="clear" w:color="auto" w:fill="3F3F3F" w:themeFill="text1" w:themeFillTint="BF"/>
                                <w14:textFill>
                                  <w14:solidFill>
                                    <w14:schemeClr w14:val="bg1"/>
                                  </w14:solidFill>
                                </w14:textFill>
                              </w:rPr>
                            </w:pPr>
                            <w:r>
                              <w:rPr>
                                <w:rFonts w:hint="eastAsia" w:ascii="黑体" w:hAnsi="黑体" w:eastAsia="黑体"/>
                                <w:bCs/>
                                <w:sz w:val="24"/>
                                <w:szCs w:val="24"/>
                                <w:lang w:val="en-US" w:eastAsia="zh-CN"/>
                              </w:rPr>
                              <w:t xml:space="preserve">青岛市人民政府  内蒙古霍林郭勒市人民政府  山东省铝业协会  </w:t>
                            </w:r>
                            <w:r>
                              <w:rPr>
                                <w:rFonts w:hint="eastAsia" w:ascii="黑体" w:hAnsi="黑体" w:eastAsia="黑体"/>
                                <w:bCs/>
                                <w:sz w:val="24"/>
                                <w:szCs w:val="24"/>
                              </w:rPr>
                              <w:t>国际铝业协会</w:t>
                            </w:r>
                          </w:p>
                          <w:p w14:paraId="5E2757C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3.55pt;height:24.7pt;width:455.05pt;z-index:251664384;mso-width-relative:page;mso-height-relative:page;" filled="f" stroked="f" coordsize="21600,21600" o:gfxdata="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0qSnjZAAAACAEAAA8AAAAAAAAAAQAgAAAAIgAAAGRy&#10;cy9kb3ducmV2LnhtbFBLAQIUABQAAAAIAIdO4kA+S+zUPQIAAGYEAAAOAAAAAAAAAAEAIAAAACgB&#10;AABkcnMvZTJvRG9jLnhtbFBLBQYAAAAABgAGAFkBAADXBQAAAAA=&#10;">
                <v:fill on="f" focussize="0,0"/>
                <v:stroke on="f" weight="0.5pt"/>
                <v:imagedata o:title=""/>
                <o:lock v:ext="edit" aspectratio="f"/>
                <v:textbox>
                  <w:txbxContent>
                    <w:p w14:paraId="49142570">
                      <w:pPr>
                        <w:rPr>
                          <w:rFonts w:ascii="方正兰亭准黑_GBK" w:eastAsia="方正兰亭准黑_GBK"/>
                          <w:color w:val="FFFFFF" w:themeColor="background1"/>
                          <w:sz w:val="28"/>
                          <w:szCs w:val="28"/>
                          <w:highlight w:val="darkGray"/>
                          <w:shd w:val="clear" w:color="auto" w:fill="3F3F3F" w:themeFill="text1" w:themeFillTint="BF"/>
                          <w14:textFill>
                            <w14:solidFill>
                              <w14:schemeClr w14:val="bg1"/>
                            </w14:solidFill>
                          </w14:textFill>
                        </w:rPr>
                      </w:pPr>
                      <w:r>
                        <w:rPr>
                          <w:rFonts w:hint="eastAsia" w:ascii="黑体" w:hAnsi="黑体" w:eastAsia="黑体"/>
                          <w:bCs/>
                          <w:sz w:val="24"/>
                          <w:szCs w:val="24"/>
                          <w:lang w:val="en-US" w:eastAsia="zh-CN"/>
                        </w:rPr>
                        <w:t xml:space="preserve">青岛市人民政府  内蒙古霍林郭勒市人民政府  山东省铝业协会  </w:t>
                      </w:r>
                      <w:r>
                        <w:rPr>
                          <w:rFonts w:hint="eastAsia" w:ascii="黑体" w:hAnsi="黑体" w:eastAsia="黑体"/>
                          <w:bCs/>
                          <w:sz w:val="24"/>
                          <w:szCs w:val="24"/>
                        </w:rPr>
                        <w:t>国际铝业协会</w:t>
                      </w:r>
                    </w:p>
                    <w:p w14:paraId="5E2757C8"/>
                  </w:txbxContent>
                </v:textbox>
              </v:shape>
            </w:pict>
          </mc:Fallback>
        </mc:AlternateContent>
      </w:r>
      <w:r>
        <w:rPr>
          <w:rFonts w:hint="default" w:ascii="方正兰亭准黑_GBK" w:eastAsia="方正兰亭准黑_GBK"/>
          <w:color w:val="FFFFFF" w:themeColor="background1"/>
          <w:sz w:val="24"/>
          <w:szCs w:val="24"/>
          <w:lang w:val="en-US"/>
          <w14:textFill>
            <w14:solidFill>
              <w14:schemeClr w14:val="bg1"/>
            </w14:solidFill>
          </w14:textFill>
        </w:rPr>
        <mc:AlternateContent>
          <mc:Choice Requires="wps">
            <w:drawing>
              <wp:anchor distT="0" distB="0" distL="114300" distR="114300" simplePos="0" relativeHeight="251662336" behindDoc="0" locked="0" layoutInCell="1" allowOverlap="1">
                <wp:simplePos x="0" y="0"/>
                <wp:positionH relativeFrom="column">
                  <wp:posOffset>-97155</wp:posOffset>
                </wp:positionH>
                <wp:positionV relativeFrom="paragraph">
                  <wp:posOffset>257810</wp:posOffset>
                </wp:positionV>
                <wp:extent cx="2571115" cy="626745"/>
                <wp:effectExtent l="0" t="0" r="0" b="0"/>
                <wp:wrapNone/>
                <wp:docPr id="1" name="文本框 2"/>
                <wp:cNvGraphicFramePr/>
                <a:graphic xmlns:a="http://schemas.openxmlformats.org/drawingml/2006/main">
                  <a:graphicData uri="http://schemas.microsoft.com/office/word/2010/wordprocessingShape">
                    <wps:wsp>
                      <wps:cNvSpPr txBox="1"/>
                      <wps:spPr>
                        <a:xfrm>
                          <a:off x="0" y="0"/>
                          <a:ext cx="2571115" cy="626745"/>
                        </a:xfrm>
                        <a:prstGeom prst="rect">
                          <a:avLst/>
                        </a:prstGeom>
                        <a:noFill/>
                        <a:ln w="9525" cap="flat" cmpd="sng">
                          <a:noFill/>
                          <a:prstDash val="solid"/>
                          <a:miter/>
                          <a:headEnd type="none" w="med" len="med"/>
                          <a:tailEnd type="none" w="med" len="med"/>
                        </a:ln>
                      </wps:spPr>
                      <wps:txbx>
                        <w:txbxContent>
                          <w:p w14:paraId="59B35464">
                            <w:pPr>
                              <w:spacing w:before="156" w:beforeLines="50" w:line="360" w:lineRule="exact"/>
                              <w:jc w:val="left"/>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媒体支持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65pt;margin-top:20.3pt;height:49.35pt;width:202.45pt;z-index:251662336;mso-width-relative:page;mso-height-relative:margin;mso-height-percent:200;" filled="f" stroked="f" coordsize="21600,21600" o:gfxdata="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cKgi2AAAAAoBAAAPAAAAAAAAAAEAIAAAACIAAABkcnMvZG93bnJl&#10;di54bWxQSwECFAAUAAAACACHTuJAY+UM2v0BAAD+AwAADgAAAAAAAAABACAAAAAnAQAAZHJzL2Uy&#10;b0RvYy54bWxQSwUGAAAAAAYABgBZAQAAlgUAAAAA&#10;">
                <v:fill on="f" focussize="0,0"/>
                <v:stroke on="f" joinstyle="miter"/>
                <v:imagedata o:title=""/>
                <o:lock v:ext="edit" aspectratio="f"/>
                <v:textbox style="mso-fit-shape-to-text:t;">
                  <w:txbxContent>
                    <w:p w14:paraId="59B35464">
                      <w:pPr>
                        <w:spacing w:before="156" w:beforeLines="50" w:line="360" w:lineRule="exact"/>
                        <w:jc w:val="left"/>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媒体支持</w:t>
                      </w:r>
                    </w:p>
                  </w:txbxContent>
                </v:textbox>
              </v:shape>
            </w:pict>
          </mc:Fallback>
        </mc:AlternateContent>
      </w:r>
    </w:p>
    <w:p w14:paraId="67F5CE2D">
      <w:pPr>
        <w:spacing w:before="156" w:beforeLines="50" w:line="360" w:lineRule="exact"/>
        <w:rPr>
          <w:rFonts w:hint="eastAsia" w:ascii="黑体" w:hAnsi="黑体" w:eastAsia="黑体" w:cs="黑体"/>
          <w:sz w:val="24"/>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-78740</wp:posOffset>
                </wp:positionH>
                <wp:positionV relativeFrom="paragraph">
                  <wp:posOffset>259080</wp:posOffset>
                </wp:positionV>
                <wp:extent cx="6739255" cy="469900"/>
                <wp:effectExtent l="0" t="0" r="0" b="0"/>
                <wp:wrapNone/>
                <wp:docPr id="5" name="文本框 5"/>
                <wp:cNvGraphicFramePr/>
                <a:graphic xmlns:a="http://schemas.openxmlformats.org/drawingml/2006/main">
                  <a:graphicData uri="http://schemas.microsoft.com/office/word/2010/wordprocessingShape">
                    <wps:wsp>
                      <wps:cNvSpPr txBox="1"/>
                      <wps:spPr>
                        <a:xfrm>
                          <a:off x="5213350" y="7383145"/>
                          <a:ext cx="67392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C659F">
                            <w:pPr>
                              <w:rPr>
                                <w:rFonts w:hint="default" w:ascii="黑体" w:hAnsi="黑体" w:eastAsia="黑体"/>
                                <w:bCs/>
                                <w:sz w:val="22"/>
                                <w:szCs w:val="22"/>
                                <w:highlight w:val="yellow"/>
                                <w:lang w:val="en-US" w:eastAsia="zh-CN"/>
                              </w:rPr>
                            </w:pPr>
                            <w:r>
                              <w:rPr>
                                <w:rFonts w:hint="eastAsia" w:ascii="黑体" w:hAnsi="黑体" w:eastAsia="黑体"/>
                                <w:bCs/>
                                <w:sz w:val="22"/>
                                <w:szCs w:val="22"/>
                                <w:lang w:eastAsia="zh-CN"/>
                              </w:rPr>
                              <w:t>《</w:t>
                            </w:r>
                            <w:r>
                              <w:rPr>
                                <w:rFonts w:hint="eastAsia" w:ascii="黑体" w:hAnsi="黑体" w:eastAsia="黑体"/>
                                <w:bCs/>
                                <w:sz w:val="22"/>
                                <w:szCs w:val="22"/>
                              </w:rPr>
                              <w:t>中国有色金属报</w:t>
                            </w:r>
                            <w:r>
                              <w:rPr>
                                <w:rFonts w:hint="eastAsia" w:ascii="黑体" w:hAnsi="黑体" w:eastAsia="黑体"/>
                                <w:bCs/>
                                <w:sz w:val="22"/>
                                <w:szCs w:val="22"/>
                                <w:lang w:eastAsia="zh-CN"/>
                              </w:rPr>
                              <w:t>》</w:t>
                            </w:r>
                            <w:r>
                              <w:rPr>
                                <w:rFonts w:hint="eastAsia" w:ascii="黑体" w:hAnsi="黑体" w:eastAsia="黑体"/>
                                <w:bCs/>
                                <w:sz w:val="22"/>
                                <w:szCs w:val="22"/>
                                <w:highlight w:val="none"/>
                                <w:lang w:val="en-US" w:eastAsia="zh-CN"/>
                              </w:rPr>
                              <w:t>等国内铝业知名媒体</w:t>
                            </w:r>
                          </w:p>
                          <w:p w14:paraId="7BADA73B">
                            <w:pPr>
                              <w:rPr>
                                <w:rFonts w:hint="eastAsia" w:eastAsia="黑体"/>
                                <w:sz w:val="20"/>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0.4pt;height:37pt;width:530.65pt;z-index:251663360;mso-width-relative:page;mso-height-relative:page;" filled="f" stroked="f" coordsize="21600,21600" o:gfxdata="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0ymu2wAAAAsBAAAPAAAAAAAA&#10;AAEAIAAAACIAAABkcnMvZG93bnJldi54bWxQSwECFAAUAAAACACHTuJAzHwKGUgCAAByBAAADgAA&#10;AAAAAAABACAAAAAqAQAAZHJzL2Uyb0RvYy54bWxQSwUGAAAAAAYABgBZAQAA5AUAAAAA&#10;">
                <v:fill on="f" focussize="0,0"/>
                <v:stroke on="f" weight="0.5pt"/>
                <v:imagedata o:title=""/>
                <o:lock v:ext="edit" aspectratio="f"/>
                <v:textbox>
                  <w:txbxContent>
                    <w:p w14:paraId="40DC659F">
                      <w:pPr>
                        <w:rPr>
                          <w:rFonts w:hint="default" w:ascii="黑体" w:hAnsi="黑体" w:eastAsia="黑体"/>
                          <w:bCs/>
                          <w:sz w:val="22"/>
                          <w:szCs w:val="22"/>
                          <w:highlight w:val="yellow"/>
                          <w:lang w:val="en-US" w:eastAsia="zh-CN"/>
                        </w:rPr>
                      </w:pPr>
                      <w:r>
                        <w:rPr>
                          <w:rFonts w:hint="eastAsia" w:ascii="黑体" w:hAnsi="黑体" w:eastAsia="黑体"/>
                          <w:bCs/>
                          <w:sz w:val="22"/>
                          <w:szCs w:val="22"/>
                          <w:lang w:eastAsia="zh-CN"/>
                        </w:rPr>
                        <w:t>《</w:t>
                      </w:r>
                      <w:r>
                        <w:rPr>
                          <w:rFonts w:hint="eastAsia" w:ascii="黑体" w:hAnsi="黑体" w:eastAsia="黑体"/>
                          <w:bCs/>
                          <w:sz w:val="22"/>
                          <w:szCs w:val="22"/>
                        </w:rPr>
                        <w:t>中国有色金属报</w:t>
                      </w:r>
                      <w:r>
                        <w:rPr>
                          <w:rFonts w:hint="eastAsia" w:ascii="黑体" w:hAnsi="黑体" w:eastAsia="黑体"/>
                          <w:bCs/>
                          <w:sz w:val="22"/>
                          <w:szCs w:val="22"/>
                          <w:lang w:eastAsia="zh-CN"/>
                        </w:rPr>
                        <w:t>》</w:t>
                      </w:r>
                      <w:r>
                        <w:rPr>
                          <w:rFonts w:hint="eastAsia" w:ascii="黑体" w:hAnsi="黑体" w:eastAsia="黑体"/>
                          <w:bCs/>
                          <w:sz w:val="22"/>
                          <w:szCs w:val="22"/>
                          <w:highlight w:val="none"/>
                          <w:lang w:val="en-US" w:eastAsia="zh-CN"/>
                        </w:rPr>
                        <w:t>等国内铝业知名媒体</w:t>
                      </w:r>
                    </w:p>
                    <w:p w14:paraId="7BADA73B">
                      <w:pPr>
                        <w:rPr>
                          <w:rFonts w:hint="eastAsia" w:eastAsia="黑体"/>
                          <w:sz w:val="20"/>
                          <w:szCs w:val="22"/>
                          <w:lang w:eastAsia="zh-CN"/>
                        </w:rPr>
                      </w:pPr>
                    </w:p>
                  </w:txbxContent>
                </v:textbox>
              </v:shape>
            </w:pict>
          </mc:Fallback>
        </mc:AlternateContent>
      </w:r>
    </w:p>
    <w:p w14:paraId="69DC735B">
      <w:pPr>
        <w:spacing w:before="156" w:beforeLines="50" w:line="360" w:lineRule="exact"/>
        <w:rPr>
          <w:rFonts w:hint="eastAsia" w:ascii="黑体" w:hAnsi="黑体" w:eastAsia="黑体" w:cs="黑体"/>
          <w:sz w:val="24"/>
          <w:lang w:val="en-US" w:eastAsia="zh-CN"/>
        </w:rPr>
      </w:pPr>
    </w:p>
    <w:p w14:paraId="61CF31D8">
      <w:pPr>
        <w:spacing w:before="156" w:beforeLines="50" w:line="360" w:lineRule="exact"/>
        <w:jc w:val="left"/>
        <w:rPr>
          <w:rFonts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pPr>
      <w:r>
        <w:rPr>
          <w:rFonts w:hint="eastAsia" w:ascii="方正兰亭准黑_GBK" w:eastAsia="方正兰亭准黑_GBK"/>
          <w:color w:val="FFFFFF" w:themeColor="background1"/>
          <w:sz w:val="28"/>
          <w:szCs w:val="28"/>
          <w:highlight w:val="darkRed"/>
          <w:shd w:val="clear" w:color="auto" w:fill="3F3F3F" w:themeFill="text1" w:themeFillTint="BF"/>
          <w14:textFill>
            <w14:solidFill>
              <w14:schemeClr w14:val="bg1"/>
            </w14:solidFill>
          </w14:textFill>
        </w:rPr>
        <w:t>支持单位</w:t>
      </w:r>
    </w:p>
    <w:tbl>
      <w:tblPr>
        <w:tblStyle w:val="13"/>
        <w:tblpPr w:leftFromText="180" w:rightFromText="180" w:vertAnchor="text" w:horzAnchor="page" w:tblpX="722" w:tblpY="344"/>
        <w:tblOverlap w:val="never"/>
        <w:tblW w:w="105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533"/>
        <w:gridCol w:w="3589"/>
        <w:gridCol w:w="3420"/>
      </w:tblGrid>
      <w:tr w14:paraId="409E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3FE6588A">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中国铝业股份有限公司</w:t>
            </w:r>
          </w:p>
        </w:tc>
        <w:tc>
          <w:tcPr>
            <w:tcW w:w="3589" w:type="dxa"/>
            <w:shd w:val="clear" w:color="auto" w:fill="auto"/>
            <w:noWrap/>
            <w:vAlign w:val="bottom"/>
          </w:tcPr>
          <w:p w14:paraId="7CFE2A33">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中国宏桥集团有限公司</w:t>
            </w:r>
          </w:p>
        </w:tc>
        <w:tc>
          <w:tcPr>
            <w:tcW w:w="3420" w:type="dxa"/>
            <w:shd w:val="clear" w:color="auto" w:fill="auto"/>
            <w:noWrap/>
            <w:vAlign w:val="bottom"/>
          </w:tcPr>
          <w:p w14:paraId="6A4C8380">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重庆市博赛矿业(集团)有限公司</w:t>
            </w:r>
          </w:p>
        </w:tc>
      </w:tr>
      <w:tr w14:paraId="3AE2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26A4D9B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天山铝业集团股份有限公司</w:t>
            </w:r>
          </w:p>
        </w:tc>
        <w:tc>
          <w:tcPr>
            <w:tcW w:w="3589" w:type="dxa"/>
            <w:shd w:val="clear" w:color="auto" w:fill="auto"/>
            <w:noWrap/>
            <w:vAlign w:val="bottom"/>
          </w:tcPr>
          <w:p w14:paraId="7DBDD84D">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杭州锦江集团有限公司</w:t>
            </w:r>
          </w:p>
        </w:tc>
        <w:tc>
          <w:tcPr>
            <w:tcW w:w="3420" w:type="dxa"/>
            <w:shd w:val="clear" w:color="auto" w:fill="auto"/>
            <w:noWrap/>
            <w:vAlign w:val="bottom"/>
          </w:tcPr>
          <w:p w14:paraId="7124162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信发集团有限公司</w:t>
            </w:r>
          </w:p>
        </w:tc>
      </w:tr>
      <w:tr w14:paraId="4ED8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56674D6F">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国家电力投资集团有限公司</w:t>
            </w:r>
          </w:p>
        </w:tc>
        <w:tc>
          <w:tcPr>
            <w:tcW w:w="3589" w:type="dxa"/>
            <w:shd w:val="clear" w:color="auto" w:fill="auto"/>
            <w:noWrap/>
            <w:vAlign w:val="bottom"/>
          </w:tcPr>
          <w:p w14:paraId="0BF9BE0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lang w:eastAsia="zh-CN"/>
              </w:rPr>
            </w:pPr>
            <w:r>
              <w:rPr>
                <w:rFonts w:hint="eastAsia" w:asciiTheme="minorEastAsia" w:hAnsiTheme="minorEastAsia" w:eastAsiaTheme="minorEastAsia" w:cstheme="minorEastAsia"/>
                <w:color w:val="000000"/>
                <w:sz w:val="18"/>
                <w:szCs w:val="18"/>
                <w:highlight w:val="none"/>
                <w:lang w:eastAsia="zh-CN"/>
              </w:rPr>
              <w:t>韦立国际集团</w:t>
            </w:r>
          </w:p>
        </w:tc>
        <w:tc>
          <w:tcPr>
            <w:tcW w:w="3420" w:type="dxa"/>
            <w:shd w:val="clear" w:color="auto" w:fill="auto"/>
            <w:noWrap/>
            <w:vAlign w:val="bottom"/>
          </w:tcPr>
          <w:p w14:paraId="01B27554">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厦门象屿铝晟有限公司</w:t>
            </w:r>
          </w:p>
        </w:tc>
      </w:tr>
      <w:tr w14:paraId="23EB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60B7F60B">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国家电投集团铝业国际贸易有限公司</w:t>
            </w:r>
          </w:p>
        </w:tc>
        <w:tc>
          <w:tcPr>
            <w:tcW w:w="3589" w:type="dxa"/>
            <w:shd w:val="clear" w:color="auto" w:fill="auto"/>
            <w:noWrap/>
            <w:vAlign w:val="bottom"/>
          </w:tcPr>
          <w:p w14:paraId="0825DE98">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sz w:val="18"/>
                <w:szCs w:val="18"/>
                <w:highlight w:val="none"/>
                <w:lang w:eastAsia="zh-CN"/>
              </w:rPr>
              <w:t>酒钢集团甘肃东兴铝业有限公司</w:t>
            </w:r>
          </w:p>
        </w:tc>
        <w:tc>
          <w:tcPr>
            <w:tcW w:w="3420" w:type="dxa"/>
            <w:shd w:val="clear" w:color="auto" w:fill="auto"/>
            <w:noWrap/>
            <w:vAlign w:val="bottom"/>
          </w:tcPr>
          <w:p w14:paraId="27B1B1D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kern w:val="0"/>
                <w:sz w:val="18"/>
                <w:szCs w:val="18"/>
                <w:highlight w:val="none"/>
                <w:lang w:val="en-US" w:eastAsia="zh-CN" w:bidi="ar"/>
              </w:rPr>
              <w:t>河南神火集团有限公司</w:t>
            </w:r>
          </w:p>
        </w:tc>
      </w:tr>
      <w:tr w14:paraId="4BCBC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5542C79D">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FF"/>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立中集团</w:t>
            </w:r>
          </w:p>
        </w:tc>
        <w:tc>
          <w:tcPr>
            <w:tcW w:w="3589" w:type="dxa"/>
            <w:shd w:val="clear" w:color="auto" w:fill="auto"/>
            <w:noWrap/>
            <w:vAlign w:val="bottom"/>
          </w:tcPr>
          <w:p w14:paraId="2FF914DA">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陕西有色榆林新材料集团有限责任公司</w:t>
            </w:r>
          </w:p>
        </w:tc>
        <w:tc>
          <w:tcPr>
            <w:tcW w:w="3420" w:type="dxa"/>
            <w:shd w:val="clear" w:color="auto" w:fill="auto"/>
            <w:noWrap/>
            <w:vAlign w:val="bottom"/>
          </w:tcPr>
          <w:p w14:paraId="4D3B633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山东鲁北海生生物有限公司</w:t>
            </w:r>
          </w:p>
        </w:tc>
      </w:tr>
      <w:tr w14:paraId="22C41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7F06E480">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FF"/>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美铝公司(Alcoa)</w:t>
            </w:r>
          </w:p>
        </w:tc>
        <w:tc>
          <w:tcPr>
            <w:tcW w:w="3589" w:type="dxa"/>
            <w:shd w:val="clear" w:color="auto" w:fill="auto"/>
            <w:noWrap/>
            <w:vAlign w:val="bottom"/>
          </w:tcPr>
          <w:p w14:paraId="63629C2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四川中孚科技发展有限公司</w:t>
            </w:r>
          </w:p>
        </w:tc>
        <w:tc>
          <w:tcPr>
            <w:tcW w:w="3420" w:type="dxa"/>
            <w:shd w:val="clear" w:color="auto" w:fill="auto"/>
            <w:noWrap/>
            <w:vAlign w:val="bottom"/>
          </w:tcPr>
          <w:p w14:paraId="3ACD9E9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东方希望集团有限公司</w:t>
            </w:r>
          </w:p>
        </w:tc>
      </w:tr>
      <w:tr w14:paraId="1D280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4855661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江苏寰球金属材料贸易有限公司</w:t>
            </w:r>
          </w:p>
        </w:tc>
        <w:tc>
          <w:tcPr>
            <w:tcW w:w="3589" w:type="dxa"/>
            <w:shd w:val="clear" w:color="auto" w:fill="auto"/>
            <w:noWrap/>
            <w:vAlign w:val="bottom"/>
          </w:tcPr>
          <w:p w14:paraId="44B7C37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紫金天风期货股份有限公司北京分公司</w:t>
            </w:r>
          </w:p>
        </w:tc>
        <w:tc>
          <w:tcPr>
            <w:tcW w:w="3420" w:type="dxa"/>
            <w:shd w:val="clear" w:color="auto" w:fill="auto"/>
            <w:noWrap/>
            <w:vAlign w:val="bottom"/>
          </w:tcPr>
          <w:p w14:paraId="714165C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防城港中丝路新材料科技有限公司</w:t>
            </w:r>
          </w:p>
        </w:tc>
      </w:tr>
      <w:tr w14:paraId="2851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756BF9E7">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广西广投临港工业有限公司</w:t>
            </w:r>
          </w:p>
        </w:tc>
        <w:tc>
          <w:tcPr>
            <w:tcW w:w="3589" w:type="dxa"/>
            <w:shd w:val="clear" w:color="auto" w:fill="auto"/>
            <w:noWrap/>
            <w:vAlign w:val="bottom"/>
          </w:tcPr>
          <w:p w14:paraId="6116C7A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北京汇丰盛和国际贸易有限公司</w:t>
            </w:r>
          </w:p>
        </w:tc>
        <w:tc>
          <w:tcPr>
            <w:tcW w:w="3420" w:type="dxa"/>
            <w:shd w:val="clear" w:color="auto" w:fill="auto"/>
            <w:noWrap/>
            <w:vAlign w:val="bottom"/>
          </w:tcPr>
          <w:p w14:paraId="0DCF3CB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山西森泽能源科技集团有限公司</w:t>
            </w:r>
          </w:p>
        </w:tc>
      </w:tr>
      <w:tr w14:paraId="219B6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262A2C90">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河南前标实业集团有限公司</w:t>
            </w:r>
          </w:p>
        </w:tc>
        <w:tc>
          <w:tcPr>
            <w:tcW w:w="3589" w:type="dxa"/>
            <w:shd w:val="clear" w:color="auto" w:fill="auto"/>
            <w:noWrap/>
            <w:vAlign w:val="bottom"/>
          </w:tcPr>
          <w:p w14:paraId="64F64D6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上海圣大供应链管理有限公司</w:t>
            </w:r>
          </w:p>
        </w:tc>
        <w:tc>
          <w:tcPr>
            <w:tcW w:w="3420" w:type="dxa"/>
            <w:shd w:val="clear" w:color="auto" w:fill="auto"/>
            <w:noWrap/>
            <w:vAlign w:val="bottom"/>
          </w:tcPr>
          <w:p w14:paraId="5C84BA5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江苏宝道国际物流有限公司</w:t>
            </w:r>
          </w:p>
        </w:tc>
      </w:tr>
      <w:tr w14:paraId="2D9E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29BE420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北京通运河国际贸易有限公司</w:t>
            </w:r>
          </w:p>
        </w:tc>
        <w:tc>
          <w:tcPr>
            <w:tcW w:w="3589" w:type="dxa"/>
            <w:shd w:val="clear" w:color="auto" w:fill="auto"/>
            <w:noWrap/>
            <w:vAlign w:val="bottom"/>
          </w:tcPr>
          <w:p w14:paraId="74A1CE6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山西奥凯达化工有限公司</w:t>
            </w:r>
          </w:p>
        </w:tc>
        <w:tc>
          <w:tcPr>
            <w:tcW w:w="3420" w:type="dxa"/>
            <w:shd w:val="clear" w:color="auto" w:fill="auto"/>
            <w:noWrap/>
            <w:vAlign w:val="bottom"/>
          </w:tcPr>
          <w:p w14:paraId="36F84D7A">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浙江自贸区中正铝晟贸易有限公司</w:t>
            </w:r>
          </w:p>
        </w:tc>
      </w:tr>
      <w:tr w14:paraId="49C22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2C686E5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北京鑫铝国际物流有限公司</w:t>
            </w:r>
          </w:p>
        </w:tc>
        <w:tc>
          <w:tcPr>
            <w:tcW w:w="3589" w:type="dxa"/>
            <w:shd w:val="clear" w:color="auto" w:fill="auto"/>
            <w:noWrap/>
            <w:vAlign w:val="bottom"/>
          </w:tcPr>
          <w:p w14:paraId="6BF139C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海南锦信桥物流有限公司</w:t>
            </w:r>
          </w:p>
        </w:tc>
        <w:tc>
          <w:tcPr>
            <w:tcW w:w="3420" w:type="dxa"/>
            <w:shd w:val="clear" w:color="auto" w:fill="auto"/>
            <w:noWrap/>
            <w:vAlign w:val="bottom"/>
          </w:tcPr>
          <w:p w14:paraId="089C4CC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海南正鑫共赢投资管理有限公司</w:t>
            </w:r>
          </w:p>
        </w:tc>
      </w:tr>
      <w:tr w14:paraId="5E886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5" w:hRule="atLeast"/>
        </w:trPr>
        <w:tc>
          <w:tcPr>
            <w:tcW w:w="3533" w:type="dxa"/>
            <w:shd w:val="clear" w:color="auto" w:fill="auto"/>
            <w:noWrap/>
            <w:vAlign w:val="bottom"/>
          </w:tcPr>
          <w:p w14:paraId="2743B5F8">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广铝集团有限公司</w:t>
            </w:r>
          </w:p>
        </w:tc>
        <w:tc>
          <w:tcPr>
            <w:tcW w:w="3589" w:type="dxa"/>
            <w:shd w:val="clear" w:color="auto" w:fill="auto"/>
            <w:noWrap/>
            <w:vAlign w:val="bottom"/>
          </w:tcPr>
          <w:p w14:paraId="23E02AD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洛阳香江万基铝业有限公司</w:t>
            </w:r>
          </w:p>
        </w:tc>
        <w:tc>
          <w:tcPr>
            <w:tcW w:w="3420" w:type="dxa"/>
            <w:shd w:val="clear" w:color="auto" w:fill="auto"/>
            <w:noWrap/>
            <w:vAlign w:val="bottom"/>
          </w:tcPr>
          <w:p w14:paraId="5BE2F437">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江苏新为多式联运有限公司</w:t>
            </w:r>
          </w:p>
        </w:tc>
      </w:tr>
      <w:tr w14:paraId="3AF95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1B34A2E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广西铝业集团有限公司</w:t>
            </w:r>
          </w:p>
        </w:tc>
        <w:tc>
          <w:tcPr>
            <w:tcW w:w="3589" w:type="dxa"/>
            <w:shd w:val="clear" w:color="auto" w:fill="auto"/>
            <w:noWrap/>
            <w:vAlign w:val="bottom"/>
          </w:tcPr>
          <w:p w14:paraId="708E048C">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云南新为物流有限公司</w:t>
            </w:r>
          </w:p>
        </w:tc>
        <w:tc>
          <w:tcPr>
            <w:tcW w:w="3420" w:type="dxa"/>
            <w:shd w:val="clear" w:color="auto" w:fill="auto"/>
            <w:noWrap/>
            <w:vAlign w:val="bottom"/>
          </w:tcPr>
          <w:p w14:paraId="20E20409">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广西新为供应链管理有限公司</w:t>
            </w:r>
          </w:p>
        </w:tc>
      </w:tr>
      <w:tr w14:paraId="21593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16A806CD">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建发物流集团有限公司</w:t>
            </w:r>
          </w:p>
        </w:tc>
        <w:tc>
          <w:tcPr>
            <w:tcW w:w="3589" w:type="dxa"/>
            <w:shd w:val="clear" w:color="auto" w:fill="auto"/>
            <w:noWrap/>
            <w:vAlign w:val="bottom"/>
          </w:tcPr>
          <w:p w14:paraId="5027F878">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北京中瑞科鑫国际贸易有限公司</w:t>
            </w:r>
          </w:p>
        </w:tc>
        <w:tc>
          <w:tcPr>
            <w:tcW w:w="3420" w:type="dxa"/>
            <w:shd w:val="clear" w:color="auto" w:fill="auto"/>
            <w:noWrap/>
            <w:vAlign w:val="bottom"/>
          </w:tcPr>
          <w:p w14:paraId="21AE62AF">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南京佳洹国际贸易有限公司</w:t>
            </w:r>
          </w:p>
        </w:tc>
      </w:tr>
      <w:tr w14:paraId="54B5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77831FB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顺达（SD）矿业股份有限公司</w:t>
            </w:r>
          </w:p>
        </w:tc>
        <w:tc>
          <w:tcPr>
            <w:tcW w:w="3589" w:type="dxa"/>
            <w:shd w:val="clear" w:color="auto" w:fill="auto"/>
            <w:noWrap/>
            <w:vAlign w:val="bottom"/>
          </w:tcPr>
          <w:p w14:paraId="49F7BCFF">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上海歌富贸易有限公司</w:t>
            </w:r>
          </w:p>
        </w:tc>
        <w:tc>
          <w:tcPr>
            <w:tcW w:w="3420" w:type="dxa"/>
            <w:shd w:val="clear" w:color="auto" w:fill="auto"/>
            <w:noWrap/>
            <w:vAlign w:val="bottom"/>
          </w:tcPr>
          <w:p w14:paraId="0E3B2DCB">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合拓（厦门）供应链有限公司</w:t>
            </w:r>
          </w:p>
        </w:tc>
      </w:tr>
      <w:tr w14:paraId="3188A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5EAA1FBA">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多氟多新材料股份有限公司</w:t>
            </w:r>
          </w:p>
        </w:tc>
        <w:tc>
          <w:tcPr>
            <w:tcW w:w="3589" w:type="dxa"/>
            <w:shd w:val="clear" w:color="auto" w:fill="auto"/>
            <w:noWrap/>
            <w:vAlign w:val="bottom"/>
          </w:tcPr>
          <w:p w14:paraId="73B29A2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河南华鼎实业发展有限公司</w:t>
            </w:r>
          </w:p>
        </w:tc>
        <w:tc>
          <w:tcPr>
            <w:tcW w:w="3420" w:type="dxa"/>
            <w:shd w:val="clear" w:color="auto" w:fill="auto"/>
            <w:noWrap/>
            <w:vAlign w:val="bottom"/>
          </w:tcPr>
          <w:p w14:paraId="1D02934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上海兴登国际贸易有限公司</w:t>
            </w:r>
          </w:p>
        </w:tc>
      </w:tr>
      <w:tr w14:paraId="09E58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5" w:hRule="atLeast"/>
        </w:trPr>
        <w:tc>
          <w:tcPr>
            <w:tcW w:w="3533" w:type="dxa"/>
            <w:shd w:val="clear" w:color="auto" w:fill="auto"/>
            <w:noWrap/>
            <w:vAlign w:val="bottom"/>
          </w:tcPr>
          <w:p w14:paraId="3FF6FF5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索通发展股份有限公司</w:t>
            </w:r>
          </w:p>
        </w:tc>
        <w:tc>
          <w:tcPr>
            <w:tcW w:w="3589" w:type="dxa"/>
            <w:shd w:val="clear" w:color="auto" w:fill="auto"/>
            <w:noWrap/>
            <w:vAlign w:val="bottom"/>
          </w:tcPr>
          <w:p w14:paraId="12F1160D">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山西宜民能源有限公司</w:t>
            </w:r>
          </w:p>
        </w:tc>
        <w:tc>
          <w:tcPr>
            <w:tcW w:w="3420" w:type="dxa"/>
            <w:shd w:val="clear" w:color="auto" w:fill="auto"/>
            <w:noWrap/>
            <w:vAlign w:val="bottom"/>
          </w:tcPr>
          <w:p w14:paraId="2435615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0"/>
                <w:sz w:val="18"/>
                <w:szCs w:val="18"/>
                <w:highlight w:val="none"/>
                <w:lang w:val="en-US" w:eastAsia="zh-CN" w:bidi="ar"/>
              </w:rPr>
              <w:t>内蒙古世星新材料科技有限公司</w:t>
            </w:r>
          </w:p>
        </w:tc>
      </w:tr>
      <w:tr w14:paraId="35CD8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2907EEDE">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中财德润投资控股有限公司</w:t>
            </w:r>
          </w:p>
        </w:tc>
        <w:tc>
          <w:tcPr>
            <w:tcW w:w="3589" w:type="dxa"/>
            <w:shd w:val="clear" w:color="auto" w:fill="auto"/>
            <w:noWrap/>
            <w:vAlign w:val="bottom"/>
          </w:tcPr>
          <w:p w14:paraId="091D25C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内蒙古海陆通达贸易物流有限责任公司</w:t>
            </w:r>
          </w:p>
        </w:tc>
        <w:tc>
          <w:tcPr>
            <w:tcW w:w="3420" w:type="dxa"/>
            <w:shd w:val="clear" w:color="auto" w:fill="auto"/>
            <w:noWrap/>
            <w:vAlign w:val="bottom"/>
          </w:tcPr>
          <w:p w14:paraId="4AA06E3D">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喜亚包装科技(青岛)有限公司</w:t>
            </w:r>
          </w:p>
        </w:tc>
      </w:tr>
      <w:tr w14:paraId="3D47D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026C5EAF">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孝义市田园化工有限公司</w:t>
            </w:r>
          </w:p>
        </w:tc>
        <w:tc>
          <w:tcPr>
            <w:tcW w:w="3589" w:type="dxa"/>
            <w:shd w:val="clear" w:color="auto" w:fill="auto"/>
            <w:noWrap/>
            <w:vAlign w:val="bottom"/>
          </w:tcPr>
          <w:p w14:paraId="4377D0A9">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山东国宇国际贸易有限公司</w:t>
            </w:r>
          </w:p>
        </w:tc>
        <w:tc>
          <w:tcPr>
            <w:tcW w:w="3420" w:type="dxa"/>
            <w:shd w:val="clear" w:color="auto" w:fill="auto"/>
            <w:noWrap/>
            <w:vAlign w:val="bottom"/>
          </w:tcPr>
          <w:p w14:paraId="053858EC">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 xml:space="preserve">营口铁晟海港物流有限公司 </w:t>
            </w:r>
          </w:p>
        </w:tc>
      </w:tr>
      <w:tr w14:paraId="57A0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5" w:hRule="atLeast"/>
        </w:trPr>
        <w:tc>
          <w:tcPr>
            <w:tcW w:w="3533" w:type="dxa"/>
            <w:shd w:val="clear" w:color="auto" w:fill="auto"/>
            <w:noWrap/>
            <w:vAlign w:val="bottom"/>
          </w:tcPr>
          <w:p w14:paraId="35C9525A">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0"/>
                <w:sz w:val="18"/>
                <w:szCs w:val="18"/>
                <w:highlight w:val="none"/>
                <w:lang w:val="en-US" w:eastAsia="zh-CN" w:bidi="ar"/>
              </w:rPr>
              <w:t xml:space="preserve">甘肃凯达物流有限责任公司 </w:t>
            </w:r>
          </w:p>
        </w:tc>
        <w:tc>
          <w:tcPr>
            <w:tcW w:w="3589" w:type="dxa"/>
            <w:shd w:val="clear" w:color="auto" w:fill="auto"/>
            <w:noWrap/>
            <w:vAlign w:val="bottom"/>
          </w:tcPr>
          <w:p w14:paraId="067F50A1">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大连前江物流有限公司</w:t>
            </w:r>
          </w:p>
        </w:tc>
        <w:tc>
          <w:tcPr>
            <w:tcW w:w="3420" w:type="dxa"/>
            <w:shd w:val="clear" w:color="auto" w:fill="auto"/>
            <w:noWrap/>
            <w:vAlign w:val="bottom"/>
          </w:tcPr>
          <w:p w14:paraId="3A6A51E5">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 xml:space="preserve">湖北新金洋资源股份公司              </w:t>
            </w:r>
          </w:p>
        </w:tc>
      </w:tr>
      <w:tr w14:paraId="63267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1722FAC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2"/>
                <w:sz w:val="18"/>
                <w:szCs w:val="18"/>
                <w:highlight w:val="none"/>
                <w:lang w:val="en-US" w:eastAsia="zh-CN" w:bidi="ar-SA"/>
              </w:rPr>
              <w:t xml:space="preserve">帅翼驰新材料集团有限公司       </w:t>
            </w:r>
          </w:p>
        </w:tc>
        <w:tc>
          <w:tcPr>
            <w:tcW w:w="3589" w:type="dxa"/>
            <w:shd w:val="clear" w:color="auto" w:fill="auto"/>
            <w:noWrap/>
            <w:vAlign w:val="bottom"/>
          </w:tcPr>
          <w:p w14:paraId="7A7B1A0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 xml:space="preserve">重庆顺博铝合金股份有限公司                  </w:t>
            </w:r>
          </w:p>
        </w:tc>
        <w:tc>
          <w:tcPr>
            <w:tcW w:w="3420" w:type="dxa"/>
            <w:shd w:val="clear" w:color="auto" w:fill="auto"/>
            <w:noWrap/>
            <w:vAlign w:val="bottom"/>
          </w:tcPr>
          <w:p w14:paraId="74568A72">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广东鸿劲新材料集团股份有限公司</w:t>
            </w:r>
          </w:p>
        </w:tc>
      </w:tr>
      <w:tr w14:paraId="3304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75EAC420">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2"/>
                <w:sz w:val="18"/>
                <w:szCs w:val="18"/>
                <w:highlight w:val="none"/>
                <w:lang w:val="en-US" w:eastAsia="zh-CN" w:bidi="ar-SA"/>
              </w:rPr>
              <w:t>大庆高新国际工贸有限公司</w:t>
            </w:r>
          </w:p>
        </w:tc>
        <w:tc>
          <w:tcPr>
            <w:tcW w:w="3589" w:type="dxa"/>
            <w:shd w:val="clear" w:color="auto" w:fill="auto"/>
            <w:noWrap/>
            <w:vAlign w:val="bottom"/>
          </w:tcPr>
          <w:p w14:paraId="34D2197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 xml:space="preserve">山东宏顺循环科技有限公司                              </w:t>
            </w:r>
          </w:p>
        </w:tc>
        <w:tc>
          <w:tcPr>
            <w:tcW w:w="3420" w:type="dxa"/>
            <w:shd w:val="clear" w:color="auto" w:fill="auto"/>
            <w:noWrap/>
            <w:vAlign w:val="bottom"/>
          </w:tcPr>
          <w:p w14:paraId="3D80D8D6">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哈尔滨东盛金材科技（集团）股份有限公司</w:t>
            </w:r>
          </w:p>
        </w:tc>
      </w:tr>
      <w:tr w14:paraId="527E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3533" w:type="dxa"/>
            <w:shd w:val="clear" w:color="auto" w:fill="auto"/>
            <w:noWrap/>
            <w:vAlign w:val="bottom"/>
          </w:tcPr>
          <w:p w14:paraId="65CFDF60">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0"/>
                <w:sz w:val="18"/>
                <w:szCs w:val="18"/>
                <w:highlight w:val="none"/>
                <w:lang w:val="en-US" w:eastAsia="zh-CN" w:bidi="ar"/>
              </w:rPr>
            </w:pPr>
            <w:r>
              <w:rPr>
                <w:rFonts w:hint="eastAsia" w:asciiTheme="minorEastAsia" w:hAnsiTheme="minorEastAsia" w:eastAsiaTheme="minorEastAsia" w:cstheme="minorEastAsia"/>
                <w:color w:val="000000"/>
                <w:kern w:val="2"/>
                <w:sz w:val="18"/>
                <w:szCs w:val="18"/>
                <w:highlight w:val="none"/>
                <w:lang w:val="en-US" w:eastAsia="zh-CN" w:bidi="ar-SA"/>
              </w:rPr>
              <w:t>济南圣泉集团股份有限公司</w:t>
            </w:r>
          </w:p>
        </w:tc>
        <w:tc>
          <w:tcPr>
            <w:tcW w:w="3589" w:type="dxa"/>
            <w:shd w:val="clear" w:color="auto" w:fill="auto"/>
            <w:noWrap/>
            <w:vAlign w:val="bottom"/>
          </w:tcPr>
          <w:p w14:paraId="1F1B5404">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 xml:space="preserve">肇庆市大正铝业有限公司              </w:t>
            </w:r>
          </w:p>
        </w:tc>
        <w:tc>
          <w:tcPr>
            <w:tcW w:w="3420" w:type="dxa"/>
            <w:shd w:val="clear" w:color="auto" w:fill="auto"/>
            <w:noWrap/>
            <w:vAlign w:val="bottom"/>
          </w:tcPr>
          <w:p w14:paraId="125D692B">
            <w:pPr>
              <w:keepNext w:val="0"/>
              <w:keepLines w:val="0"/>
              <w:widowControl/>
              <w:suppressLineNumbers w:val="0"/>
              <w:wordWrap/>
              <w:spacing w:line="240" w:lineRule="auto"/>
              <w:jc w:val="left"/>
              <w:textAlignment w:val="bottom"/>
              <w:rPr>
                <w:rFonts w:hint="eastAsia" w:asciiTheme="minorEastAsia" w:hAnsiTheme="minorEastAsia" w:eastAsiaTheme="minorEastAsia" w:cstheme="minorEastAsia"/>
                <w:color w:val="000000"/>
                <w:kern w:val="2"/>
                <w:sz w:val="18"/>
                <w:szCs w:val="18"/>
                <w:highlight w:val="none"/>
                <w:lang w:val="en-US" w:eastAsia="zh-CN" w:bidi="ar-SA"/>
              </w:rPr>
            </w:pPr>
            <w:r>
              <w:rPr>
                <w:rFonts w:hint="eastAsia" w:asciiTheme="minorEastAsia" w:hAnsiTheme="minorEastAsia" w:eastAsiaTheme="minorEastAsia" w:cstheme="minorEastAsia"/>
                <w:color w:val="000000"/>
                <w:kern w:val="2"/>
                <w:sz w:val="18"/>
                <w:szCs w:val="18"/>
                <w:highlight w:val="none"/>
                <w:lang w:val="en-US" w:eastAsia="zh-CN" w:bidi="ar-SA"/>
              </w:rPr>
              <w:t>上海永茂泰汽车科技股份有限公司</w:t>
            </w:r>
          </w:p>
        </w:tc>
      </w:tr>
    </w:tbl>
    <w:p w14:paraId="2316AA49">
      <w:pPr>
        <w:rPr>
          <w:rFonts w:hint="eastAsia" w:ascii="微软雅黑" w:hAnsi="微软雅黑" w:eastAsia="微软雅黑"/>
          <w:b/>
          <w:sz w:val="32"/>
          <w:szCs w:val="32"/>
        </w:rPr>
      </w:pPr>
    </w:p>
    <w:p w14:paraId="38E192DF">
      <w:pPr>
        <w:rPr>
          <w:rFonts w:hint="eastAsia" w:ascii="微软雅黑" w:hAnsi="微软雅黑" w:eastAsia="微软雅黑"/>
          <w:b/>
          <w:sz w:val="32"/>
          <w:szCs w:val="32"/>
        </w:rPr>
      </w:pPr>
      <w:r>
        <w:rPr>
          <w:rFonts w:hint="eastAsia" w:ascii="微软雅黑" w:hAnsi="微软雅黑" w:eastAsia="微软雅黑"/>
          <w:b/>
          <w:sz w:val="32"/>
          <w:szCs w:val="32"/>
        </w:rPr>
        <w:br w:type="page"/>
      </w:r>
    </w:p>
    <w:p w14:paraId="52A20906">
      <w:pPr>
        <w:jc w:val="center"/>
        <w:rPr>
          <w:rFonts w:hint="eastAsia" w:ascii="微软雅黑" w:hAnsi="微软雅黑" w:eastAsia="微软雅黑"/>
          <w:b/>
          <w:sz w:val="32"/>
          <w:szCs w:val="32"/>
        </w:rPr>
      </w:pPr>
      <w:r>
        <w:rPr>
          <w:rFonts w:hint="eastAsia" w:ascii="微软雅黑" w:hAnsi="微软雅黑" w:eastAsia="微软雅黑"/>
          <w:b/>
          <w:sz w:val="32"/>
          <w:szCs w:val="32"/>
        </w:rPr>
        <w:t>会议日程安排</w:t>
      </w:r>
    </w:p>
    <w:p w14:paraId="30DFD45E">
      <w:pPr>
        <w:pStyle w:val="3"/>
        <w:spacing w:before="0" w:after="0"/>
        <w:ind w:firstLine="120" w:firstLineChars="50"/>
        <w:rPr>
          <w:rFonts w:hint="default" w:ascii="黑体" w:hAnsi="黑体" w:eastAsia="黑体" w:cs="黑体"/>
          <w:sz w:val="24"/>
          <w:szCs w:val="24"/>
          <w:lang w:val="en-US" w:eastAsia="zh-CN"/>
        </w:rPr>
      </w:pPr>
      <w:bookmarkStart w:id="0" w:name="_Toc299058435"/>
      <w:bookmarkStart w:id="1" w:name="_Toc458670912"/>
      <w:r>
        <w:rPr>
          <w:rFonts w:hint="eastAsia" w:ascii="黑体" w:hAnsi="黑体" w:eastAsia="黑体" w:cs="黑体"/>
          <w:sz w:val="24"/>
          <w:szCs w:val="24"/>
        </w:rPr>
        <w:t>参会报到</w:t>
      </w:r>
      <w:bookmarkEnd w:id="0"/>
      <w:bookmarkEnd w:id="1"/>
      <w:r>
        <w:rPr>
          <w:rFonts w:hint="eastAsia" w:ascii="黑体" w:hAnsi="黑体" w:eastAsia="黑体" w:cs="黑体"/>
          <w:sz w:val="24"/>
          <w:szCs w:val="24"/>
        </w:rPr>
        <w:t>（</w:t>
      </w:r>
      <w:r>
        <w:rPr>
          <w:rFonts w:hint="eastAsia" w:ascii="黑体" w:hAnsi="黑体" w:eastAsia="黑体" w:cs="黑体"/>
          <w:sz w:val="24"/>
          <w:szCs w:val="24"/>
          <w:lang w:val="en-US" w:eastAsia="zh-CN"/>
        </w:rPr>
        <w:t>8</w:t>
      </w:r>
      <w:r>
        <w:rPr>
          <w:rFonts w:hint="eastAsia" w:ascii="黑体" w:hAnsi="黑体" w:eastAsia="黑体" w:cs="黑体"/>
          <w:sz w:val="24"/>
          <w:szCs w:val="24"/>
        </w:rPr>
        <w:t>月</w:t>
      </w:r>
      <w:r>
        <w:rPr>
          <w:rFonts w:hint="eastAsia" w:ascii="黑体" w:hAnsi="黑体" w:eastAsia="黑体" w:cs="黑体"/>
          <w:sz w:val="24"/>
          <w:szCs w:val="24"/>
          <w:lang w:val="en-US" w:eastAsia="zh-CN"/>
        </w:rPr>
        <w:t>19</w:t>
      </w:r>
      <w:r>
        <w:rPr>
          <w:rFonts w:hint="eastAsia" w:ascii="黑体" w:hAnsi="黑体" w:eastAsia="黑体" w:cs="黑体"/>
          <w:sz w:val="24"/>
          <w:szCs w:val="24"/>
        </w:rPr>
        <w:t>日）</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嘉宾签到</w:t>
      </w:r>
    </w:p>
    <w:p w14:paraId="6D0C4493">
      <w:pPr>
        <w:pStyle w:val="3"/>
        <w:spacing w:before="0" w:after="0"/>
        <w:ind w:firstLine="120" w:firstLineChars="50"/>
        <w:rPr>
          <w:rFonts w:hint="eastAsia" w:ascii="黑体" w:hAnsi="黑体" w:eastAsia="黑体" w:cs="黑体"/>
          <w:sz w:val="24"/>
          <w:szCs w:val="24"/>
          <w:lang w:eastAsia="zh-CN"/>
        </w:rPr>
      </w:pPr>
      <w:r>
        <w:rPr>
          <w:rFonts w:hint="eastAsia" w:ascii="黑体" w:hAnsi="黑体" w:eastAsia="黑体" w:cs="黑体"/>
          <w:sz w:val="24"/>
          <w:szCs w:val="24"/>
        </w:rPr>
        <w:t>主题报告（</w:t>
      </w:r>
      <w:r>
        <w:rPr>
          <w:rFonts w:hint="eastAsia" w:ascii="黑体" w:hAnsi="黑体" w:eastAsia="黑体" w:cs="黑体"/>
          <w:sz w:val="24"/>
          <w:szCs w:val="24"/>
          <w:lang w:val="en-US" w:eastAsia="zh-CN"/>
        </w:rPr>
        <w:t>8</w:t>
      </w:r>
      <w:r>
        <w:rPr>
          <w:rFonts w:hint="eastAsia" w:ascii="黑体" w:hAnsi="黑体" w:eastAsia="黑体" w:cs="黑体"/>
          <w:sz w:val="24"/>
          <w:szCs w:val="24"/>
        </w:rPr>
        <w:t>月</w:t>
      </w:r>
      <w:r>
        <w:rPr>
          <w:rFonts w:hint="eastAsia" w:ascii="黑体" w:hAnsi="黑体" w:eastAsia="黑体" w:cs="黑体"/>
          <w:sz w:val="24"/>
          <w:szCs w:val="24"/>
          <w:lang w:val="en-US" w:eastAsia="zh-CN"/>
        </w:rPr>
        <w:t>20</w:t>
      </w:r>
      <w:r>
        <w:rPr>
          <w:rFonts w:hint="eastAsia" w:ascii="黑体" w:hAnsi="黑体" w:eastAsia="黑体" w:cs="黑体"/>
          <w:sz w:val="24"/>
          <w:szCs w:val="24"/>
        </w:rPr>
        <w:t>日）</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全天</w:t>
      </w:r>
      <w:r>
        <w:rPr>
          <w:rFonts w:hint="eastAsia" w:ascii="黑体" w:hAnsi="黑体" w:eastAsia="黑体" w:cs="黑体"/>
          <w:sz w:val="24"/>
          <w:szCs w:val="24"/>
          <w:lang w:eastAsia="zh-CN"/>
        </w:rPr>
        <w:t>会议</w:t>
      </w:r>
    </w:p>
    <w:tbl>
      <w:tblPr>
        <w:tblStyle w:val="13"/>
        <w:tblW w:w="104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60"/>
      </w:tblGrid>
      <w:tr w14:paraId="443B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045A57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FFFFFF" w:themeColor="background1"/>
                <w:kern w:val="0"/>
                <w:sz w:val="32"/>
                <w:szCs w:val="32"/>
                <w:u w:val="none"/>
                <w:lang w:val="en-US" w:eastAsia="zh-CN" w:bidi="ar"/>
                <w14:textFill>
                  <w14:solidFill>
                    <w14:schemeClr w14:val="bg1"/>
                  </w14:solidFill>
                </w14:textFill>
              </w:rPr>
              <w:t>AI赋能·数智铝行</w:t>
            </w:r>
          </w:p>
        </w:tc>
      </w:tr>
      <w:tr w14:paraId="5066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1B33829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大模型驱动下的铝业效能与格局重塑</w:t>
            </w:r>
          </w:p>
        </w:tc>
      </w:tr>
      <w:tr w14:paraId="2C2FC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B53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阿拉丁AI产业园赋能</w:t>
            </w:r>
            <w:r>
              <w:rPr>
                <w:rFonts w:hint="eastAsia" w:ascii="宋体" w:hAnsi="宋体" w:eastAsia="宋体" w:cs="宋体"/>
                <w:i w:val="0"/>
                <w:iCs w:val="0"/>
                <w:color w:val="000000"/>
                <w:kern w:val="0"/>
                <w:sz w:val="24"/>
                <w:szCs w:val="24"/>
                <w:u w:val="none"/>
                <w:lang w:val="en-US" w:eastAsia="zh-CN" w:bidi="ar"/>
              </w:rPr>
              <w:t>企业降本增效与组织升级</w:t>
            </w:r>
          </w:p>
        </w:tc>
      </w:tr>
      <w:tr w14:paraId="42E40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8F89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全球流动性重构与国内稳增长政策落地周期下实体企业经营环境研判</w:t>
            </w:r>
          </w:p>
        </w:tc>
      </w:tr>
      <w:tr w14:paraId="76337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D1D0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铝行业能效考核、环保督查与合规产能下的稳产高产</w:t>
            </w:r>
          </w:p>
        </w:tc>
      </w:tr>
      <w:tr w14:paraId="67A52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56591">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印尼铝产业产能释放与全球市场供需深度解析</w:t>
            </w:r>
          </w:p>
        </w:tc>
      </w:tr>
      <w:tr w14:paraId="1BF3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2423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“ALD神灯”垂直大模型落地——AI驱动铝产业智能化应用</w:t>
            </w:r>
          </w:p>
        </w:tc>
      </w:tr>
      <w:tr w14:paraId="04AC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1474E492">
            <w:pPr>
              <w:keepNext w:val="0"/>
              <w:keepLines w:val="0"/>
              <w:widowControl/>
              <w:suppressLineNumbers w:val="0"/>
              <w:jc w:val="center"/>
              <w:textAlignment w:val="cente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矿源变局・成本再造・风控升级</w:t>
            </w:r>
            <w:r>
              <w:rPr>
                <w:rFonts w:hint="eastAsia" w:ascii="宋体" w:hAnsi="宋体" w:cs="宋体"/>
                <w:b/>
                <w:bCs/>
                <w:i w:val="0"/>
                <w:iCs w:val="0"/>
                <w:color w:val="FFFFFF" w:themeColor="background1"/>
                <w:kern w:val="0"/>
                <w:sz w:val="24"/>
                <w:szCs w:val="24"/>
                <w:u w:val="none"/>
                <w:lang w:val="en-US" w:eastAsia="zh-CN" w:bidi="ar"/>
                <w14:textFill>
                  <w14:solidFill>
                    <w14:schemeClr w14:val="bg1"/>
                  </w14:solidFill>
                </w14:textFill>
              </w:rPr>
              <w:t xml:space="preserve"> —— </w:t>
            </w: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铝上游多元品类格局推演</w:t>
            </w:r>
          </w:p>
        </w:tc>
      </w:tr>
      <w:tr w14:paraId="2F05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6E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新的《矿产资源法实施条例》下国产铝土矿供应格局与保供路径</w:t>
            </w:r>
          </w:p>
        </w:tc>
      </w:tr>
      <w:tr w14:paraId="73366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1FA5">
            <w:pPr>
              <w:keepNext w:val="0"/>
              <w:keepLines w:val="0"/>
              <w:widowControl/>
              <w:suppressLineNumbers w:val="0"/>
              <w:tabs>
                <w:tab w:val="left" w:pos="3462"/>
              </w:tabs>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全球干散货海运市场格局与中长期发展趋势</w:t>
            </w:r>
          </w:p>
        </w:tc>
      </w:tr>
      <w:tr w14:paraId="6555E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181B">
            <w:pPr>
              <w:keepNext w:val="0"/>
              <w:keepLines w:val="0"/>
              <w:widowControl/>
              <w:suppressLineNumbers w:val="0"/>
              <w:tabs>
                <w:tab w:val="left" w:pos="3462"/>
              </w:tabs>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海外铝矿投资风险解析与地缘因素量化研判</w:t>
            </w:r>
          </w:p>
        </w:tc>
      </w:tr>
      <w:tr w14:paraId="6DCDA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D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承接东西、链接内外：北方港口在铝土矿及氧化铝供应链中的枢纽角色与升级路径</w:t>
            </w:r>
          </w:p>
        </w:tc>
      </w:tr>
      <w:tr w14:paraId="14A58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2429">
            <w:pPr>
              <w:keepNext w:val="0"/>
              <w:keepLines w:val="0"/>
              <w:widowControl/>
              <w:suppressLineNumbers w:val="0"/>
              <w:tabs>
                <w:tab w:val="left" w:pos="3462"/>
              </w:tabs>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突发影响大，倚矿定天下：基本面决定性因素持续存在，突发政策和时间错配周期</w:t>
            </w:r>
          </w:p>
        </w:tc>
      </w:tr>
      <w:tr w14:paraId="7CE81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F9A7">
            <w:pPr>
              <w:keepNext w:val="0"/>
              <w:keepLines w:val="0"/>
              <w:widowControl/>
              <w:suppressLineNumbers w:val="0"/>
              <w:tabs>
                <w:tab w:val="left" w:pos="3462"/>
              </w:tabs>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深挖精细品类潜力 数智测算洞察氧化铝行业新机遇</w:t>
            </w:r>
          </w:p>
        </w:tc>
      </w:tr>
      <w:tr w14:paraId="6C412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531F">
            <w:pPr>
              <w:keepNext w:val="0"/>
              <w:keepLines w:val="0"/>
              <w:widowControl/>
              <w:suppressLineNumbers w:val="0"/>
              <w:tabs>
                <w:tab w:val="left" w:pos="3462"/>
              </w:tabs>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场内期货搭配场外期权 氧化铝复合型风控策略设计与执行</w:t>
            </w:r>
          </w:p>
        </w:tc>
      </w:tr>
      <w:tr w14:paraId="7134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518A">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海外需求趋缓 国内供给扩容 烧碱市场双重承压前行</w:t>
            </w:r>
          </w:p>
        </w:tc>
      </w:tr>
      <w:tr w14:paraId="05378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3256348A">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供需新局・智造跃迁・绿链重塑 —— 铝下游多元场景数智重构</w:t>
            </w:r>
          </w:p>
        </w:tc>
      </w:tr>
      <w:tr w14:paraId="31D0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59F7">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rPr>
              <w:t>超高利润刺激合规弹性供应  强化电流多角度影响供应面</w:t>
            </w:r>
          </w:p>
        </w:tc>
      </w:tr>
      <w:tr w14:paraId="7AA19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A2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rPr>
              <w:t>多年超高库存  综合评估年内去库力度和斜率</w:t>
            </w:r>
          </w:p>
        </w:tc>
      </w:tr>
      <w:tr w14:paraId="61730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E8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电价改革下的区域分化：云川蒙</w:t>
            </w:r>
            <w:r>
              <w:rPr>
                <w:rFonts w:hint="eastAsia" w:ascii="宋体" w:hAnsi="宋体" w:cs="宋体"/>
                <w:i w:val="0"/>
                <w:iCs w:val="0"/>
                <w:color w:val="000000"/>
                <w:kern w:val="0"/>
                <w:sz w:val="24"/>
                <w:szCs w:val="24"/>
                <w:u w:val="none"/>
                <w:lang w:val="en-US" w:eastAsia="zh-CN" w:bidi="ar"/>
              </w:rPr>
              <w:t>用电</w:t>
            </w:r>
            <w:r>
              <w:rPr>
                <w:rFonts w:hint="eastAsia" w:ascii="宋体" w:hAnsi="宋体" w:eastAsia="宋体" w:cs="宋体"/>
                <w:i w:val="0"/>
                <w:iCs w:val="0"/>
                <w:color w:val="000000"/>
                <w:kern w:val="0"/>
                <w:sz w:val="24"/>
                <w:szCs w:val="24"/>
                <w:u w:val="none"/>
                <w:lang w:val="en-US" w:eastAsia="zh-CN" w:bidi="ar"/>
              </w:rPr>
              <w:t>优势、</w:t>
            </w:r>
            <w:r>
              <w:rPr>
                <w:rFonts w:hint="eastAsia" w:ascii="宋体" w:hAnsi="宋体" w:cs="宋体"/>
                <w:i w:val="0"/>
                <w:iCs w:val="0"/>
                <w:color w:val="000000"/>
                <w:kern w:val="0"/>
                <w:sz w:val="24"/>
                <w:szCs w:val="24"/>
                <w:u w:val="none"/>
                <w:lang w:val="en-US" w:eastAsia="zh-CN" w:bidi="ar"/>
              </w:rPr>
              <w:t>能源</w:t>
            </w:r>
            <w:r>
              <w:rPr>
                <w:rFonts w:hint="eastAsia" w:ascii="宋体" w:hAnsi="宋体" w:eastAsia="宋体" w:cs="宋体"/>
                <w:i w:val="0"/>
                <w:iCs w:val="0"/>
                <w:color w:val="000000"/>
                <w:kern w:val="0"/>
                <w:sz w:val="24"/>
                <w:szCs w:val="24"/>
                <w:u w:val="none"/>
                <w:lang w:val="en-US" w:eastAsia="zh-CN" w:bidi="ar"/>
              </w:rPr>
              <w:t>价差与供电成本展望</w:t>
            </w:r>
          </w:p>
        </w:tc>
      </w:tr>
      <w:tr w14:paraId="53BAB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BFD6">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解码铝消费动能指数  捕捉产业链的“阿尔法”信号</w:t>
            </w:r>
          </w:p>
        </w:tc>
      </w:tr>
      <w:tr w14:paraId="1664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00BB">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从“经验”到“算法”，算力激活工业机器人用铝“智造”新引擎</w:t>
            </w:r>
          </w:p>
        </w:tc>
      </w:tr>
      <w:tr w14:paraId="7E89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6954">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AI赋能+绿色低碳 抢滩新能源高端铝型材市场</w:t>
            </w:r>
          </w:p>
        </w:tc>
      </w:tr>
      <w:tr w14:paraId="3FCFE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704E">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内外铝价价差走阔，全球化布局优化铝板带箔出口配比方案</w:t>
            </w:r>
          </w:p>
        </w:tc>
      </w:tr>
      <w:tr w14:paraId="3D5C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2F80">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sz w:val="24"/>
                <w:szCs w:val="24"/>
              </w:rPr>
              <w:t>工业互联网协同再生铝企业创新智造，稳质增效</w:t>
            </w:r>
          </w:p>
        </w:tc>
      </w:tr>
      <w:tr w14:paraId="36482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17C4">
            <w:pPr>
              <w:keepNext w:val="0"/>
              <w:keepLines w:val="0"/>
              <w:widowControl/>
              <w:suppressLineNumbers w:val="0"/>
              <w:jc w:val="center"/>
              <w:textAlignment w:val="center"/>
              <w:rPr>
                <w:rFonts w:hint="eastAsia" w:ascii="Times New Roman" w:hAnsi="Times New Roman" w:cs="Times New Roman" w:eastAsiaTheme="minorEastAsia"/>
                <w:kern w:val="2"/>
                <w:sz w:val="24"/>
                <w:szCs w:val="24"/>
                <w:lang w:val="en-US" w:eastAsia="zh-CN" w:bidi="ar-SA"/>
              </w:rPr>
            </w:pPr>
            <w:r>
              <w:rPr>
                <w:rFonts w:hint="eastAsia" w:asciiTheme="minorEastAsia" w:hAnsiTheme="minorEastAsia" w:eastAsiaTheme="minorEastAsia" w:cstheme="minorEastAsia"/>
                <w:sz w:val="24"/>
                <w:szCs w:val="24"/>
              </w:rPr>
              <w:t>票据经济模式下，</w:t>
            </w:r>
            <w:r>
              <w:rPr>
                <w:rFonts w:hint="eastAsia" w:asciiTheme="minorEastAsia" w:hAnsiTheme="minorEastAsia" w:eastAsiaTheme="minorEastAsia" w:cstheme="minorEastAsia"/>
                <w:sz w:val="24"/>
                <w:szCs w:val="24"/>
                <w:lang w:val="en-US" w:eastAsia="zh-CN"/>
              </w:rPr>
              <w:t>再生铝</w:t>
            </w:r>
            <w:r>
              <w:rPr>
                <w:rFonts w:hint="eastAsia" w:asciiTheme="minorEastAsia" w:hAnsiTheme="minorEastAsia" w:eastAsiaTheme="minorEastAsia" w:cstheme="minorEastAsia"/>
                <w:sz w:val="24"/>
                <w:szCs w:val="24"/>
              </w:rPr>
              <w:t>交易格局将会朝何种方向演变</w:t>
            </w:r>
            <w:r>
              <w:rPr>
                <w:rFonts w:hint="eastAsia" w:asciiTheme="minorEastAsia" w:hAnsiTheme="minorEastAsia" w:eastAsiaTheme="minorEastAsia" w:cstheme="minorEastAsia"/>
                <w:sz w:val="24"/>
                <w:szCs w:val="24"/>
                <w:lang w:eastAsia="zh-CN"/>
              </w:rPr>
              <w:t>？</w:t>
            </w:r>
          </w:p>
        </w:tc>
      </w:tr>
      <w:tr w14:paraId="2E579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987B">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大数据</w:t>
            </w:r>
            <w:r>
              <w:rPr>
                <w:rFonts w:hint="eastAsia" w:asciiTheme="minorEastAsia" w:hAnsiTheme="minorEastAsia" w:eastAsiaTheme="minorEastAsia" w:cstheme="minorEastAsia"/>
                <w:sz w:val="24"/>
                <w:szCs w:val="24"/>
              </w:rPr>
              <w:t>助力退役汽车材料的保级回收与可信追溯</w:t>
            </w:r>
          </w:p>
        </w:tc>
      </w:tr>
      <w:tr w14:paraId="1A4A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9086">
            <w:pPr>
              <w:keepNext w:val="0"/>
              <w:keepLines w:val="0"/>
              <w:widowControl/>
              <w:suppressLineNumbers w:val="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AI如何量化一体化压铸趋势下的铸造铝合金供需错配</w:t>
            </w:r>
          </w:p>
        </w:tc>
      </w:tr>
    </w:tbl>
    <w:p w14:paraId="638A25BA"/>
    <w:tbl>
      <w:tblPr>
        <w:tblStyle w:val="13"/>
        <w:tblW w:w="104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60"/>
      </w:tblGrid>
      <w:tr w14:paraId="51674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39F2BEA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cs="宋体"/>
                <w:b/>
                <w:bCs/>
                <w:i w:val="0"/>
                <w:iCs w:val="0"/>
                <w:color w:val="FFFFFF" w:themeColor="background1"/>
                <w:kern w:val="0"/>
                <w:sz w:val="32"/>
                <w:szCs w:val="32"/>
                <w:u w:val="none"/>
                <w:lang w:val="en-US" w:eastAsia="zh-CN" w:bidi="ar"/>
                <w14:textFill>
                  <w14:solidFill>
                    <w14:schemeClr w14:val="bg1"/>
                  </w14:solidFill>
                </w14:textFill>
              </w:rPr>
              <w:t>分论坛—</w:t>
            </w:r>
            <w:r>
              <w:rPr>
                <w:rFonts w:hint="eastAsia" w:ascii="宋体" w:hAnsi="宋体" w:eastAsia="宋体" w:cs="宋体"/>
                <w:b/>
                <w:bCs/>
                <w:i w:val="0"/>
                <w:iCs w:val="0"/>
                <w:color w:val="FFFFFF" w:themeColor="background1"/>
                <w:kern w:val="0"/>
                <w:sz w:val="32"/>
                <w:szCs w:val="32"/>
                <w:u w:val="none"/>
                <w:lang w:val="en-US" w:eastAsia="zh-CN" w:bidi="ar"/>
                <w14:textFill>
                  <w14:solidFill>
                    <w14:schemeClr w14:val="bg1"/>
                  </w14:solidFill>
                </w14:textFill>
              </w:rPr>
              <w:t>铝辅供应链与低碳转型</w:t>
            </w:r>
            <w:r>
              <w:rPr>
                <w:rFonts w:hint="eastAsia" w:ascii="宋体" w:hAnsi="宋体" w:cs="宋体"/>
                <w:b/>
                <w:bCs/>
                <w:i w:val="0"/>
                <w:iCs w:val="0"/>
                <w:color w:val="FFFFFF" w:themeColor="background1"/>
                <w:kern w:val="0"/>
                <w:sz w:val="32"/>
                <w:szCs w:val="32"/>
                <w:u w:val="none"/>
                <w:lang w:val="en-US" w:eastAsia="zh-CN" w:bidi="ar"/>
                <w14:textFill>
                  <w14:solidFill>
                    <w14:schemeClr w14:val="bg1"/>
                  </w14:solidFill>
                </w14:textFill>
              </w:rPr>
              <w:t>专场</w:t>
            </w:r>
          </w:p>
        </w:tc>
      </w:tr>
      <w:tr w14:paraId="4D9B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980105"/>
            <w:vAlign w:val="center"/>
          </w:tcPr>
          <w:p w14:paraId="4D27045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稳链出海·服务突围——铝用辅料的价值重构之路</w:t>
            </w:r>
          </w:p>
        </w:tc>
      </w:tr>
      <w:tr w14:paraId="61AD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F56D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双碳目标下预焙阳极企业的服务商化转型路径与实践</w:t>
            </w:r>
          </w:p>
        </w:tc>
      </w:tr>
      <w:tr w14:paraId="5690E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B624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海外电解铝产能扩张背景下预焙阳极的海外布局思考</w:t>
            </w:r>
          </w:p>
        </w:tc>
      </w:tr>
      <w:tr w14:paraId="666A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3327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AI赋能大数据库存优化——预焙阳极发货排产与周转风险预警实战</w:t>
            </w:r>
          </w:p>
        </w:tc>
      </w:tr>
      <w:tr w14:paraId="7FDD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6EFB1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全球石油焦供需格局演变与铝用原料供应链安全</w:t>
            </w:r>
          </w:p>
        </w:tc>
      </w:tr>
      <w:tr w14:paraId="753B4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1E53E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从政策到法律-进口焦与国产焦的合规成本对比及供应格局变化</w:t>
            </w:r>
          </w:p>
        </w:tc>
      </w:tr>
      <w:tr w14:paraId="7D5BA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8B6F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从"卖焦"到"卖碳配额"——《生态环境法》下煅烧焦企业的第二增长曲线</w:t>
            </w:r>
          </w:p>
        </w:tc>
      </w:tr>
      <w:tr w14:paraId="73CAD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F96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铝用与锂电用煅烧焦的市场协同与产能分配策略</w:t>
            </w:r>
          </w:p>
        </w:tc>
      </w:tr>
      <w:tr w14:paraId="4F77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04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57BE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heme="minorEastAsia" w:hAnsiTheme="minorEastAsia" w:eastAsiaTheme="minorEastAsia" w:cstheme="minorEastAsia"/>
                <w:sz w:val="24"/>
                <w:szCs w:val="24"/>
                <w:lang w:val="en-US" w:eastAsia="zh-CN"/>
              </w:rPr>
              <w:t>大数据驱动原料替代决策——进口焦与国产焦切换中的质量波动预警与智能评估</w:t>
            </w:r>
          </w:p>
        </w:tc>
      </w:tr>
    </w:tbl>
    <w:p w14:paraId="7FC330CD">
      <w:pPr>
        <w:rPr>
          <w:rFonts w:hint="eastAsia" w:ascii="微软雅黑" w:hAnsi="微软雅黑" w:eastAsia="微软雅黑" w:cs="Arial"/>
          <w:sz w:val="36"/>
          <w:szCs w:val="36"/>
          <w:lang w:val="en-US" w:eastAsia="zh-CN"/>
        </w:rPr>
      </w:pPr>
      <w:r>
        <w:rPr>
          <w:rFonts w:hint="eastAsia" w:ascii="微软雅黑" w:hAnsi="微软雅黑" w:eastAsia="微软雅黑" w:cs="Arial"/>
          <w:sz w:val="36"/>
          <w:szCs w:val="36"/>
          <w:lang w:val="en-US" w:eastAsia="zh-CN"/>
        </w:rPr>
        <w:br w:type="page"/>
      </w:r>
    </w:p>
    <w:p w14:paraId="567D0373">
      <w:pPr>
        <w:ind w:right="884"/>
        <w:jc w:val="center"/>
        <w:rPr>
          <w:rFonts w:ascii="微软雅黑" w:hAnsi="微软雅黑" w:eastAsia="微软雅黑" w:cs="Arial"/>
          <w:sz w:val="36"/>
          <w:szCs w:val="36"/>
        </w:rPr>
      </w:pPr>
      <w:r>
        <w:rPr>
          <w:rFonts w:hint="eastAsia" w:ascii="微软雅黑" w:hAnsi="微软雅黑" w:eastAsia="微软雅黑" w:cs="Arial"/>
          <w:sz w:val="36"/>
          <w:szCs w:val="36"/>
        </w:rPr>
        <w:t>2026年(第21届)中国铝业峰会报名表</w:t>
      </w:r>
    </w:p>
    <w:tbl>
      <w:tblPr>
        <w:tblStyle w:val="13"/>
        <w:tblW w:w="10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229"/>
        <w:gridCol w:w="708"/>
        <w:gridCol w:w="2195"/>
        <w:gridCol w:w="1755"/>
        <w:gridCol w:w="1486"/>
        <w:gridCol w:w="2489"/>
      </w:tblGrid>
      <w:tr w14:paraId="0E4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93" w:type="dxa"/>
            <w:gridSpan w:val="2"/>
            <w:vAlign w:val="center"/>
          </w:tcPr>
          <w:p w14:paraId="4FF66996">
            <w:pPr>
              <w:snapToGrid w:val="0"/>
              <w:spacing w:line="300" w:lineRule="exact"/>
              <w:jc w:val="center"/>
              <w:rPr>
                <w:rFonts w:ascii="Arial" w:hAnsi="宋体" w:cs="Arial"/>
                <w:bCs/>
                <w:szCs w:val="21"/>
              </w:rPr>
            </w:pPr>
            <w:r>
              <w:rPr>
                <w:rFonts w:hint="eastAsia" w:ascii="Arial" w:hAnsi="宋体" w:cs="Arial"/>
                <w:bCs/>
                <w:szCs w:val="21"/>
              </w:rPr>
              <w:t>公司名称</w:t>
            </w:r>
          </w:p>
        </w:tc>
        <w:tc>
          <w:tcPr>
            <w:tcW w:w="8633" w:type="dxa"/>
            <w:gridSpan w:val="5"/>
            <w:vAlign w:val="center"/>
          </w:tcPr>
          <w:p w14:paraId="2831CC50">
            <w:pPr>
              <w:snapToGrid w:val="0"/>
              <w:spacing w:line="300" w:lineRule="exact"/>
              <w:rPr>
                <w:rFonts w:hint="default" w:ascii="Arial" w:hAnsi="Arial" w:eastAsia="宋体" w:cs="Arial"/>
                <w:bCs/>
                <w:szCs w:val="21"/>
                <w:lang w:val="en-US" w:eastAsia="zh-CN"/>
              </w:rPr>
            </w:pPr>
          </w:p>
        </w:tc>
      </w:tr>
      <w:tr w14:paraId="51B7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93" w:type="dxa"/>
            <w:gridSpan w:val="2"/>
            <w:vAlign w:val="center"/>
          </w:tcPr>
          <w:p w14:paraId="43AC9183">
            <w:pPr>
              <w:snapToGrid w:val="0"/>
              <w:spacing w:line="300" w:lineRule="exact"/>
              <w:jc w:val="center"/>
              <w:rPr>
                <w:rFonts w:ascii="Arial" w:hAnsi="Arial" w:cs="Arial"/>
                <w:bCs/>
                <w:szCs w:val="21"/>
              </w:rPr>
            </w:pPr>
            <w:r>
              <w:rPr>
                <w:rFonts w:hint="eastAsia" w:ascii="Arial" w:hAnsi="宋体" w:cs="Arial"/>
                <w:bCs/>
                <w:szCs w:val="21"/>
              </w:rPr>
              <w:t>公司地址</w:t>
            </w:r>
          </w:p>
        </w:tc>
        <w:tc>
          <w:tcPr>
            <w:tcW w:w="4658" w:type="dxa"/>
            <w:gridSpan w:val="3"/>
            <w:vAlign w:val="center"/>
          </w:tcPr>
          <w:p w14:paraId="03D86582">
            <w:pPr>
              <w:snapToGrid w:val="0"/>
              <w:spacing w:line="300" w:lineRule="exact"/>
              <w:jc w:val="left"/>
              <w:rPr>
                <w:rFonts w:ascii="Arial" w:hAnsi="Arial" w:cs="Arial"/>
                <w:bCs/>
                <w:szCs w:val="21"/>
              </w:rPr>
            </w:pPr>
          </w:p>
        </w:tc>
        <w:tc>
          <w:tcPr>
            <w:tcW w:w="1486" w:type="dxa"/>
            <w:vAlign w:val="center"/>
          </w:tcPr>
          <w:p w14:paraId="320F7242">
            <w:pPr>
              <w:snapToGrid w:val="0"/>
              <w:spacing w:line="300" w:lineRule="exact"/>
              <w:jc w:val="center"/>
              <w:rPr>
                <w:rFonts w:ascii="Arial" w:hAnsi="Arial" w:cs="Arial"/>
                <w:bCs/>
                <w:szCs w:val="21"/>
              </w:rPr>
            </w:pPr>
            <w:r>
              <w:rPr>
                <w:rFonts w:hint="eastAsia" w:ascii="Arial" w:hAnsi="宋体" w:cs="Arial"/>
                <w:bCs/>
                <w:szCs w:val="21"/>
                <w:lang w:eastAsia="zh-CN"/>
              </w:rPr>
              <w:t>邮箱地址</w:t>
            </w:r>
          </w:p>
        </w:tc>
        <w:tc>
          <w:tcPr>
            <w:tcW w:w="2489" w:type="dxa"/>
            <w:vAlign w:val="center"/>
          </w:tcPr>
          <w:p w14:paraId="5A1805B1">
            <w:pPr>
              <w:snapToGrid w:val="0"/>
              <w:spacing w:line="300" w:lineRule="exact"/>
              <w:jc w:val="center"/>
              <w:rPr>
                <w:rFonts w:ascii="Arial" w:hAnsi="Arial" w:cs="Arial"/>
                <w:bCs/>
                <w:szCs w:val="21"/>
              </w:rPr>
            </w:pPr>
          </w:p>
        </w:tc>
      </w:tr>
      <w:tr w14:paraId="6124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93" w:type="dxa"/>
            <w:gridSpan w:val="2"/>
            <w:vAlign w:val="center"/>
          </w:tcPr>
          <w:p w14:paraId="47EB3290">
            <w:pPr>
              <w:snapToGrid w:val="0"/>
              <w:spacing w:line="300" w:lineRule="exact"/>
              <w:jc w:val="center"/>
              <w:rPr>
                <w:rFonts w:hint="eastAsia" w:ascii="Arial" w:hAnsi="宋体" w:eastAsia="宋体" w:cs="Arial"/>
                <w:bCs/>
                <w:szCs w:val="21"/>
                <w:lang w:eastAsia="zh-CN"/>
              </w:rPr>
            </w:pPr>
            <w:r>
              <w:rPr>
                <w:rFonts w:hint="eastAsia" w:ascii="Arial" w:hAnsi="宋体" w:cs="Arial"/>
                <w:bCs/>
                <w:szCs w:val="21"/>
                <w:lang w:eastAsia="zh-CN"/>
              </w:rPr>
              <w:t>业务范围</w:t>
            </w:r>
          </w:p>
        </w:tc>
        <w:tc>
          <w:tcPr>
            <w:tcW w:w="4658" w:type="dxa"/>
            <w:gridSpan w:val="3"/>
            <w:vAlign w:val="center"/>
          </w:tcPr>
          <w:p w14:paraId="34D890EE">
            <w:pPr>
              <w:snapToGrid w:val="0"/>
              <w:spacing w:line="300" w:lineRule="exact"/>
              <w:jc w:val="center"/>
              <w:rPr>
                <w:rFonts w:ascii="Arial" w:hAnsi="Arial" w:cs="Arial"/>
                <w:bCs/>
                <w:szCs w:val="21"/>
              </w:rPr>
            </w:pPr>
          </w:p>
        </w:tc>
        <w:tc>
          <w:tcPr>
            <w:tcW w:w="1486" w:type="dxa"/>
            <w:vAlign w:val="center"/>
          </w:tcPr>
          <w:p w14:paraId="3E540D8E">
            <w:pPr>
              <w:snapToGrid w:val="0"/>
              <w:spacing w:line="300" w:lineRule="exact"/>
              <w:jc w:val="center"/>
              <w:rPr>
                <w:rFonts w:ascii="Arial" w:hAnsi="Arial" w:cs="Arial"/>
                <w:bCs/>
                <w:szCs w:val="21"/>
              </w:rPr>
            </w:pPr>
            <w:r>
              <w:rPr>
                <w:rFonts w:hint="eastAsia" w:ascii="Arial" w:hAnsi="Arial" w:cs="Arial"/>
                <w:bCs/>
                <w:szCs w:val="21"/>
                <w:lang w:eastAsia="zh-CN"/>
              </w:rPr>
              <w:t>关注品种</w:t>
            </w:r>
          </w:p>
        </w:tc>
        <w:tc>
          <w:tcPr>
            <w:tcW w:w="2489" w:type="dxa"/>
            <w:vAlign w:val="center"/>
          </w:tcPr>
          <w:p w14:paraId="74B71A5C">
            <w:pPr>
              <w:snapToGrid w:val="0"/>
              <w:spacing w:line="300" w:lineRule="exact"/>
              <w:jc w:val="center"/>
              <w:rPr>
                <w:rFonts w:ascii="Arial" w:hAnsi="Arial" w:cs="Arial"/>
                <w:bCs/>
                <w:szCs w:val="21"/>
              </w:rPr>
            </w:pPr>
          </w:p>
        </w:tc>
      </w:tr>
      <w:tr w14:paraId="08FF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4" w:type="dxa"/>
            <w:vMerge w:val="restart"/>
            <w:shd w:val="clear" w:color="auto" w:fill="E6E6E6"/>
            <w:vAlign w:val="center"/>
          </w:tcPr>
          <w:p w14:paraId="4D22847D">
            <w:pPr>
              <w:snapToGrid w:val="0"/>
              <w:spacing w:line="300" w:lineRule="exact"/>
              <w:jc w:val="center"/>
              <w:rPr>
                <w:rFonts w:ascii="Arial" w:hAnsi="Arial" w:cs="Arial"/>
                <w:bCs/>
                <w:szCs w:val="21"/>
              </w:rPr>
            </w:pPr>
            <w:r>
              <w:rPr>
                <w:rFonts w:hint="eastAsia" w:ascii="Arial" w:hAnsi="宋体" w:cs="Arial"/>
                <w:bCs/>
                <w:szCs w:val="21"/>
              </w:rPr>
              <w:t>参会人员</w:t>
            </w:r>
          </w:p>
        </w:tc>
        <w:tc>
          <w:tcPr>
            <w:tcW w:w="1229" w:type="dxa"/>
            <w:shd w:val="clear" w:color="auto" w:fill="E6E6E6"/>
            <w:vAlign w:val="center"/>
          </w:tcPr>
          <w:p w14:paraId="5A345B0D">
            <w:pPr>
              <w:snapToGrid w:val="0"/>
              <w:spacing w:line="300" w:lineRule="exact"/>
              <w:jc w:val="center"/>
              <w:rPr>
                <w:rFonts w:ascii="Arial" w:hAnsi="Arial" w:cs="Arial"/>
                <w:bCs/>
                <w:szCs w:val="21"/>
              </w:rPr>
            </w:pPr>
            <w:r>
              <w:rPr>
                <w:rFonts w:hint="eastAsia" w:ascii="Arial" w:hAnsi="宋体" w:cs="Arial"/>
                <w:bCs/>
                <w:szCs w:val="21"/>
              </w:rPr>
              <w:t>姓名</w:t>
            </w:r>
          </w:p>
        </w:tc>
        <w:tc>
          <w:tcPr>
            <w:tcW w:w="708" w:type="dxa"/>
            <w:shd w:val="clear" w:color="auto" w:fill="E6E6E6"/>
            <w:vAlign w:val="center"/>
          </w:tcPr>
          <w:p w14:paraId="0B60C16E">
            <w:pPr>
              <w:snapToGrid w:val="0"/>
              <w:spacing w:line="300" w:lineRule="exact"/>
              <w:jc w:val="center"/>
              <w:rPr>
                <w:rFonts w:ascii="Arial" w:hAnsi="Arial" w:cs="Arial"/>
                <w:bCs/>
                <w:szCs w:val="21"/>
              </w:rPr>
            </w:pPr>
            <w:r>
              <w:rPr>
                <w:rFonts w:hint="eastAsia" w:ascii="Arial" w:hAnsi="宋体" w:cs="Arial"/>
                <w:bCs/>
                <w:szCs w:val="21"/>
              </w:rPr>
              <w:t>性别</w:t>
            </w:r>
          </w:p>
        </w:tc>
        <w:tc>
          <w:tcPr>
            <w:tcW w:w="2195" w:type="dxa"/>
            <w:shd w:val="clear" w:color="auto" w:fill="E6E6E6"/>
            <w:vAlign w:val="center"/>
          </w:tcPr>
          <w:p w14:paraId="4C215CB7">
            <w:pPr>
              <w:snapToGrid w:val="0"/>
              <w:spacing w:line="300" w:lineRule="exact"/>
              <w:jc w:val="center"/>
              <w:rPr>
                <w:rFonts w:ascii="Arial" w:hAnsi="Arial" w:cs="Arial"/>
                <w:bCs/>
                <w:szCs w:val="21"/>
              </w:rPr>
            </w:pPr>
            <w:r>
              <w:rPr>
                <w:rFonts w:hint="eastAsia" w:ascii="Arial" w:hAnsi="宋体" w:cs="Arial"/>
                <w:bCs/>
                <w:szCs w:val="21"/>
              </w:rPr>
              <w:t>职位</w:t>
            </w:r>
          </w:p>
        </w:tc>
        <w:tc>
          <w:tcPr>
            <w:tcW w:w="1755" w:type="dxa"/>
            <w:shd w:val="clear" w:color="auto" w:fill="E6E6E6"/>
            <w:vAlign w:val="center"/>
          </w:tcPr>
          <w:p w14:paraId="7083B236">
            <w:pPr>
              <w:snapToGrid w:val="0"/>
              <w:spacing w:line="300" w:lineRule="exact"/>
              <w:jc w:val="center"/>
              <w:rPr>
                <w:rFonts w:ascii="Arial" w:hAnsi="Arial" w:cs="Arial"/>
                <w:bCs/>
                <w:szCs w:val="21"/>
              </w:rPr>
            </w:pPr>
            <w:r>
              <w:rPr>
                <w:rFonts w:hint="eastAsia" w:ascii="Arial" w:hAnsi="宋体" w:cs="Arial"/>
                <w:bCs/>
                <w:szCs w:val="21"/>
              </w:rPr>
              <w:t>手机</w:t>
            </w:r>
          </w:p>
        </w:tc>
        <w:tc>
          <w:tcPr>
            <w:tcW w:w="3975" w:type="dxa"/>
            <w:gridSpan w:val="2"/>
            <w:shd w:val="clear" w:color="auto" w:fill="E6E6E6"/>
            <w:vAlign w:val="center"/>
          </w:tcPr>
          <w:p w14:paraId="3900B971">
            <w:pPr>
              <w:snapToGrid w:val="0"/>
              <w:spacing w:line="300" w:lineRule="exact"/>
              <w:jc w:val="center"/>
              <w:rPr>
                <w:rFonts w:ascii="Arial" w:hAnsi="Arial" w:cs="Arial"/>
                <w:bCs/>
                <w:szCs w:val="21"/>
              </w:rPr>
            </w:pPr>
            <w:r>
              <w:rPr>
                <w:rFonts w:hint="eastAsia" w:ascii="Arial" w:hAnsi="宋体" w:cs="Arial"/>
                <w:bCs/>
                <w:szCs w:val="21"/>
              </w:rPr>
              <w:t>住宿时段</w:t>
            </w:r>
          </w:p>
        </w:tc>
      </w:tr>
      <w:tr w14:paraId="783D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564" w:type="dxa"/>
            <w:vMerge w:val="continue"/>
            <w:shd w:val="clear" w:color="auto" w:fill="E6E6E6"/>
            <w:vAlign w:val="center"/>
          </w:tcPr>
          <w:p w14:paraId="6DC244AD">
            <w:pPr>
              <w:snapToGrid w:val="0"/>
              <w:spacing w:line="300" w:lineRule="exact"/>
              <w:jc w:val="center"/>
              <w:rPr>
                <w:rFonts w:ascii="Arial" w:hAnsi="Arial" w:cs="Arial"/>
                <w:bCs/>
                <w:szCs w:val="21"/>
              </w:rPr>
            </w:pPr>
          </w:p>
        </w:tc>
        <w:tc>
          <w:tcPr>
            <w:tcW w:w="1229" w:type="dxa"/>
            <w:vAlign w:val="center"/>
          </w:tcPr>
          <w:p w14:paraId="44902A78">
            <w:pPr>
              <w:snapToGrid w:val="0"/>
              <w:spacing w:line="300" w:lineRule="exact"/>
              <w:jc w:val="center"/>
              <w:rPr>
                <w:rFonts w:hint="default" w:ascii="Arial" w:hAnsi="Arial" w:eastAsia="宋体" w:cs="Arial"/>
                <w:bCs/>
                <w:szCs w:val="21"/>
                <w:lang w:val="en-US" w:eastAsia="zh-CN"/>
              </w:rPr>
            </w:pPr>
          </w:p>
        </w:tc>
        <w:tc>
          <w:tcPr>
            <w:tcW w:w="708" w:type="dxa"/>
            <w:vAlign w:val="center"/>
          </w:tcPr>
          <w:p w14:paraId="3F981C15">
            <w:pPr>
              <w:snapToGrid w:val="0"/>
              <w:spacing w:line="300" w:lineRule="exact"/>
              <w:jc w:val="center"/>
              <w:rPr>
                <w:rFonts w:hint="eastAsia" w:ascii="Arial" w:hAnsi="Arial" w:eastAsia="宋体" w:cs="Arial"/>
                <w:bCs/>
                <w:szCs w:val="21"/>
                <w:lang w:val="en-US" w:eastAsia="zh-CN"/>
              </w:rPr>
            </w:pPr>
          </w:p>
        </w:tc>
        <w:tc>
          <w:tcPr>
            <w:tcW w:w="2195" w:type="dxa"/>
            <w:vAlign w:val="center"/>
          </w:tcPr>
          <w:p w14:paraId="6CDAD777">
            <w:pPr>
              <w:snapToGrid w:val="0"/>
              <w:spacing w:line="300" w:lineRule="exact"/>
              <w:jc w:val="center"/>
              <w:rPr>
                <w:rFonts w:hint="default" w:ascii="Arial" w:hAnsi="Arial" w:eastAsia="宋体" w:cs="Arial"/>
                <w:bCs/>
                <w:szCs w:val="21"/>
                <w:lang w:val="en-US" w:eastAsia="zh-CN"/>
              </w:rPr>
            </w:pPr>
          </w:p>
        </w:tc>
        <w:tc>
          <w:tcPr>
            <w:tcW w:w="1755" w:type="dxa"/>
            <w:vAlign w:val="center"/>
          </w:tcPr>
          <w:p w14:paraId="6A51133E">
            <w:pPr>
              <w:snapToGrid w:val="0"/>
              <w:spacing w:line="300" w:lineRule="exact"/>
              <w:jc w:val="center"/>
              <w:rPr>
                <w:rFonts w:hint="default" w:ascii="Arial" w:hAnsi="Arial" w:eastAsia="宋体" w:cs="Arial"/>
                <w:bCs/>
                <w:szCs w:val="21"/>
                <w:lang w:val="en-US" w:eastAsia="zh-CN"/>
              </w:rPr>
            </w:pPr>
          </w:p>
        </w:tc>
        <w:tc>
          <w:tcPr>
            <w:tcW w:w="3975" w:type="dxa"/>
            <w:gridSpan w:val="2"/>
            <w:vAlign w:val="center"/>
          </w:tcPr>
          <w:p w14:paraId="16D04BE8">
            <w:pPr>
              <w:snapToGrid w:val="0"/>
              <w:spacing w:line="300" w:lineRule="exact"/>
              <w:rPr>
                <w:rFonts w:ascii="Arial" w:hAnsi="Arial" w:cs="Arial"/>
                <w:bCs/>
                <w:szCs w:val="21"/>
                <w:u w:val="single"/>
              </w:rPr>
            </w:pP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到店，</w:t>
            </w: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离店，共</w:t>
            </w:r>
            <w:r>
              <w:rPr>
                <w:rFonts w:hint="eastAsia" w:ascii="Arial" w:hAnsi="宋体" w:cs="Arial"/>
                <w:bCs/>
                <w:szCs w:val="21"/>
                <w:u w:val="single"/>
                <w:lang w:val="en-US" w:eastAsia="zh-CN"/>
              </w:rPr>
              <w:t xml:space="preserve">     </w:t>
            </w:r>
            <w:r>
              <w:rPr>
                <w:rFonts w:hint="eastAsia" w:ascii="Arial" w:hAnsi="宋体" w:cs="Arial"/>
                <w:bCs/>
                <w:szCs w:val="21"/>
              </w:rPr>
              <w:t>晚</w:t>
            </w:r>
          </w:p>
        </w:tc>
      </w:tr>
      <w:tr w14:paraId="0773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564" w:type="dxa"/>
            <w:vMerge w:val="continue"/>
            <w:shd w:val="clear" w:color="auto" w:fill="E6E6E6"/>
            <w:vAlign w:val="center"/>
          </w:tcPr>
          <w:p w14:paraId="3BCF18D8">
            <w:pPr>
              <w:snapToGrid w:val="0"/>
              <w:spacing w:line="300" w:lineRule="exact"/>
              <w:jc w:val="center"/>
              <w:rPr>
                <w:rFonts w:ascii="Arial" w:hAnsi="Arial" w:cs="Arial"/>
                <w:bCs/>
                <w:szCs w:val="21"/>
              </w:rPr>
            </w:pPr>
          </w:p>
        </w:tc>
        <w:tc>
          <w:tcPr>
            <w:tcW w:w="1229" w:type="dxa"/>
            <w:vAlign w:val="center"/>
          </w:tcPr>
          <w:p w14:paraId="50D0A49F">
            <w:pPr>
              <w:snapToGrid w:val="0"/>
              <w:spacing w:line="300" w:lineRule="exact"/>
              <w:jc w:val="center"/>
              <w:rPr>
                <w:rFonts w:ascii="Arial" w:hAnsi="Arial" w:cs="Arial"/>
                <w:bCs/>
                <w:szCs w:val="21"/>
              </w:rPr>
            </w:pPr>
          </w:p>
        </w:tc>
        <w:tc>
          <w:tcPr>
            <w:tcW w:w="708" w:type="dxa"/>
            <w:vAlign w:val="center"/>
          </w:tcPr>
          <w:p w14:paraId="53A42B93">
            <w:pPr>
              <w:snapToGrid w:val="0"/>
              <w:spacing w:line="300" w:lineRule="exact"/>
              <w:jc w:val="center"/>
              <w:rPr>
                <w:rFonts w:ascii="Arial" w:hAnsi="Arial" w:cs="Arial"/>
                <w:bCs/>
                <w:szCs w:val="21"/>
              </w:rPr>
            </w:pPr>
          </w:p>
        </w:tc>
        <w:tc>
          <w:tcPr>
            <w:tcW w:w="2195" w:type="dxa"/>
            <w:vAlign w:val="center"/>
          </w:tcPr>
          <w:p w14:paraId="7A5F803A">
            <w:pPr>
              <w:snapToGrid w:val="0"/>
              <w:spacing w:line="300" w:lineRule="exact"/>
              <w:jc w:val="center"/>
              <w:rPr>
                <w:rFonts w:ascii="Arial" w:hAnsi="Arial" w:cs="Arial"/>
                <w:bCs/>
                <w:szCs w:val="21"/>
              </w:rPr>
            </w:pPr>
          </w:p>
        </w:tc>
        <w:tc>
          <w:tcPr>
            <w:tcW w:w="1755" w:type="dxa"/>
            <w:vAlign w:val="center"/>
          </w:tcPr>
          <w:p w14:paraId="5B398BAF">
            <w:pPr>
              <w:snapToGrid w:val="0"/>
              <w:spacing w:line="300" w:lineRule="exact"/>
              <w:jc w:val="center"/>
              <w:rPr>
                <w:rFonts w:ascii="Arial" w:hAnsi="Arial" w:cs="Arial"/>
                <w:bCs/>
                <w:szCs w:val="21"/>
              </w:rPr>
            </w:pPr>
          </w:p>
        </w:tc>
        <w:tc>
          <w:tcPr>
            <w:tcW w:w="3975" w:type="dxa"/>
            <w:gridSpan w:val="2"/>
            <w:vAlign w:val="center"/>
          </w:tcPr>
          <w:p w14:paraId="0D0E5474">
            <w:pPr>
              <w:snapToGrid w:val="0"/>
              <w:spacing w:line="300" w:lineRule="exact"/>
              <w:rPr>
                <w:rFonts w:ascii="Arial" w:hAnsi="Arial" w:cs="Arial"/>
                <w:bCs/>
                <w:szCs w:val="21"/>
                <w:u w:val="single"/>
              </w:rPr>
            </w:pP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到店，</w:t>
            </w: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离店，共</w:t>
            </w:r>
            <w:r>
              <w:rPr>
                <w:rFonts w:hint="eastAsia" w:ascii="Arial" w:hAnsi="宋体" w:cs="Arial"/>
                <w:bCs/>
                <w:szCs w:val="21"/>
                <w:u w:val="single"/>
                <w:lang w:val="en-US" w:eastAsia="zh-CN"/>
              </w:rPr>
              <w:t xml:space="preserve">     </w:t>
            </w:r>
            <w:r>
              <w:rPr>
                <w:rFonts w:hint="eastAsia" w:ascii="Arial" w:hAnsi="宋体" w:cs="Arial"/>
                <w:bCs/>
                <w:szCs w:val="21"/>
              </w:rPr>
              <w:t>晚</w:t>
            </w:r>
          </w:p>
        </w:tc>
      </w:tr>
      <w:tr w14:paraId="5E1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564" w:type="dxa"/>
            <w:vMerge w:val="continue"/>
            <w:shd w:val="clear" w:color="auto" w:fill="E6E6E6"/>
            <w:vAlign w:val="center"/>
          </w:tcPr>
          <w:p w14:paraId="4AD595E7">
            <w:pPr>
              <w:snapToGrid w:val="0"/>
              <w:spacing w:line="300" w:lineRule="exact"/>
              <w:jc w:val="center"/>
              <w:rPr>
                <w:rFonts w:ascii="Arial" w:hAnsi="Arial" w:cs="Arial"/>
                <w:bCs/>
                <w:szCs w:val="21"/>
              </w:rPr>
            </w:pPr>
          </w:p>
        </w:tc>
        <w:tc>
          <w:tcPr>
            <w:tcW w:w="1229" w:type="dxa"/>
            <w:vAlign w:val="center"/>
          </w:tcPr>
          <w:p w14:paraId="7B699BB4">
            <w:pPr>
              <w:snapToGrid w:val="0"/>
              <w:spacing w:line="300" w:lineRule="exact"/>
              <w:jc w:val="center"/>
              <w:rPr>
                <w:rFonts w:ascii="Arial" w:hAnsi="Arial" w:cs="Arial"/>
                <w:bCs/>
                <w:szCs w:val="21"/>
              </w:rPr>
            </w:pPr>
          </w:p>
        </w:tc>
        <w:tc>
          <w:tcPr>
            <w:tcW w:w="708" w:type="dxa"/>
            <w:vAlign w:val="center"/>
          </w:tcPr>
          <w:p w14:paraId="4F3C847E">
            <w:pPr>
              <w:snapToGrid w:val="0"/>
              <w:spacing w:line="300" w:lineRule="exact"/>
              <w:jc w:val="center"/>
              <w:rPr>
                <w:rFonts w:ascii="Arial" w:hAnsi="Arial" w:cs="Arial"/>
                <w:bCs/>
                <w:szCs w:val="21"/>
              </w:rPr>
            </w:pPr>
          </w:p>
        </w:tc>
        <w:tc>
          <w:tcPr>
            <w:tcW w:w="2195" w:type="dxa"/>
            <w:vAlign w:val="center"/>
          </w:tcPr>
          <w:p w14:paraId="298369A4">
            <w:pPr>
              <w:snapToGrid w:val="0"/>
              <w:spacing w:line="300" w:lineRule="exact"/>
              <w:jc w:val="center"/>
              <w:rPr>
                <w:rFonts w:ascii="Arial" w:hAnsi="Arial" w:cs="Arial"/>
                <w:bCs/>
                <w:szCs w:val="21"/>
              </w:rPr>
            </w:pPr>
          </w:p>
        </w:tc>
        <w:tc>
          <w:tcPr>
            <w:tcW w:w="1755" w:type="dxa"/>
            <w:vAlign w:val="center"/>
          </w:tcPr>
          <w:p w14:paraId="7B58ED74">
            <w:pPr>
              <w:snapToGrid w:val="0"/>
              <w:spacing w:line="300" w:lineRule="exact"/>
              <w:jc w:val="center"/>
              <w:rPr>
                <w:rFonts w:ascii="Arial" w:hAnsi="Arial" w:cs="Arial"/>
                <w:bCs/>
                <w:szCs w:val="21"/>
              </w:rPr>
            </w:pPr>
          </w:p>
        </w:tc>
        <w:tc>
          <w:tcPr>
            <w:tcW w:w="3975" w:type="dxa"/>
            <w:gridSpan w:val="2"/>
            <w:vAlign w:val="center"/>
          </w:tcPr>
          <w:p w14:paraId="1768469B">
            <w:pPr>
              <w:snapToGrid w:val="0"/>
              <w:spacing w:line="300" w:lineRule="exact"/>
              <w:rPr>
                <w:rFonts w:ascii="Arial" w:hAnsi="Arial" w:cs="Arial"/>
                <w:bCs/>
                <w:szCs w:val="21"/>
                <w:u w:val="single"/>
              </w:rPr>
            </w:pP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到店，</w:t>
            </w: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离店，共</w:t>
            </w:r>
            <w:r>
              <w:rPr>
                <w:rFonts w:hint="eastAsia" w:ascii="Arial" w:hAnsi="宋体" w:cs="Arial"/>
                <w:bCs/>
                <w:szCs w:val="21"/>
                <w:u w:val="single"/>
                <w:lang w:val="en-US" w:eastAsia="zh-CN"/>
              </w:rPr>
              <w:t xml:space="preserve">     </w:t>
            </w:r>
            <w:r>
              <w:rPr>
                <w:rFonts w:hint="eastAsia" w:ascii="Arial" w:hAnsi="宋体" w:cs="Arial"/>
                <w:bCs/>
                <w:szCs w:val="21"/>
              </w:rPr>
              <w:t>晚</w:t>
            </w:r>
          </w:p>
        </w:tc>
      </w:tr>
      <w:tr w14:paraId="5D17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564" w:type="dxa"/>
            <w:vMerge w:val="continue"/>
            <w:shd w:val="clear" w:color="auto" w:fill="E6E6E6"/>
            <w:vAlign w:val="center"/>
          </w:tcPr>
          <w:p w14:paraId="68D05720">
            <w:pPr>
              <w:snapToGrid w:val="0"/>
              <w:spacing w:line="300" w:lineRule="exact"/>
              <w:jc w:val="center"/>
              <w:rPr>
                <w:rFonts w:ascii="Arial" w:hAnsi="Arial" w:cs="Arial"/>
                <w:bCs/>
                <w:szCs w:val="21"/>
              </w:rPr>
            </w:pPr>
          </w:p>
        </w:tc>
        <w:tc>
          <w:tcPr>
            <w:tcW w:w="1229" w:type="dxa"/>
            <w:vAlign w:val="center"/>
          </w:tcPr>
          <w:p w14:paraId="6488E0B7">
            <w:pPr>
              <w:snapToGrid w:val="0"/>
              <w:spacing w:line="300" w:lineRule="exact"/>
              <w:jc w:val="center"/>
              <w:rPr>
                <w:rFonts w:ascii="Arial" w:hAnsi="Arial" w:cs="Arial"/>
                <w:bCs/>
                <w:szCs w:val="21"/>
              </w:rPr>
            </w:pPr>
          </w:p>
        </w:tc>
        <w:tc>
          <w:tcPr>
            <w:tcW w:w="708" w:type="dxa"/>
            <w:vAlign w:val="center"/>
          </w:tcPr>
          <w:p w14:paraId="31BFD71B">
            <w:pPr>
              <w:snapToGrid w:val="0"/>
              <w:spacing w:line="300" w:lineRule="exact"/>
              <w:jc w:val="center"/>
              <w:rPr>
                <w:rFonts w:ascii="Arial" w:hAnsi="Arial" w:cs="Arial"/>
                <w:bCs/>
                <w:szCs w:val="21"/>
              </w:rPr>
            </w:pPr>
          </w:p>
        </w:tc>
        <w:tc>
          <w:tcPr>
            <w:tcW w:w="2195" w:type="dxa"/>
            <w:vAlign w:val="center"/>
          </w:tcPr>
          <w:p w14:paraId="5376FE65">
            <w:pPr>
              <w:snapToGrid w:val="0"/>
              <w:spacing w:line="300" w:lineRule="exact"/>
              <w:jc w:val="center"/>
              <w:rPr>
                <w:rFonts w:ascii="Arial" w:hAnsi="Arial" w:cs="Arial"/>
                <w:bCs/>
                <w:szCs w:val="21"/>
              </w:rPr>
            </w:pPr>
          </w:p>
        </w:tc>
        <w:tc>
          <w:tcPr>
            <w:tcW w:w="1755" w:type="dxa"/>
            <w:vAlign w:val="center"/>
          </w:tcPr>
          <w:p w14:paraId="69CB5E3D">
            <w:pPr>
              <w:snapToGrid w:val="0"/>
              <w:spacing w:line="300" w:lineRule="exact"/>
              <w:jc w:val="center"/>
              <w:rPr>
                <w:rFonts w:ascii="Arial" w:hAnsi="Arial" w:cs="Arial"/>
                <w:bCs/>
                <w:szCs w:val="21"/>
              </w:rPr>
            </w:pPr>
          </w:p>
        </w:tc>
        <w:tc>
          <w:tcPr>
            <w:tcW w:w="3975" w:type="dxa"/>
            <w:gridSpan w:val="2"/>
            <w:vAlign w:val="center"/>
          </w:tcPr>
          <w:p w14:paraId="23DE5A2A">
            <w:pPr>
              <w:snapToGrid w:val="0"/>
              <w:spacing w:line="300" w:lineRule="exact"/>
              <w:rPr>
                <w:rFonts w:ascii="Arial" w:hAnsi="Arial" w:cs="Arial"/>
                <w:bCs/>
                <w:szCs w:val="21"/>
                <w:u w:val="single"/>
              </w:rPr>
            </w:pP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到店，</w:t>
            </w:r>
            <w:r>
              <w:rPr>
                <w:rFonts w:hint="eastAsia" w:ascii="Arial" w:hAnsi="宋体" w:cs="Arial"/>
                <w:bCs/>
                <w:szCs w:val="21"/>
                <w:u w:val="single"/>
                <w:lang w:val="en-US" w:eastAsia="zh-CN"/>
              </w:rPr>
              <w:t xml:space="preserve">     </w:t>
            </w:r>
            <w:r>
              <w:rPr>
                <w:rFonts w:hint="eastAsia" w:ascii="Arial" w:hAnsi="宋体" w:cs="Arial"/>
                <w:bCs/>
                <w:szCs w:val="21"/>
                <w:lang w:val="en-US" w:eastAsia="zh-CN"/>
              </w:rPr>
              <w:t>日</w:t>
            </w:r>
            <w:r>
              <w:rPr>
                <w:rFonts w:hint="eastAsia" w:ascii="Arial" w:hAnsi="宋体" w:cs="Arial"/>
                <w:bCs/>
                <w:szCs w:val="21"/>
              </w:rPr>
              <w:t>离店，共</w:t>
            </w:r>
            <w:r>
              <w:rPr>
                <w:rFonts w:hint="eastAsia" w:ascii="Arial" w:hAnsi="宋体" w:cs="Arial"/>
                <w:bCs/>
                <w:szCs w:val="21"/>
                <w:u w:val="single"/>
                <w:lang w:val="en-US" w:eastAsia="zh-CN"/>
              </w:rPr>
              <w:t xml:space="preserve">     </w:t>
            </w:r>
            <w:r>
              <w:rPr>
                <w:rFonts w:hint="eastAsia" w:ascii="Arial" w:hAnsi="宋体" w:cs="Arial"/>
                <w:bCs/>
                <w:szCs w:val="21"/>
              </w:rPr>
              <w:t>晚</w:t>
            </w:r>
          </w:p>
        </w:tc>
      </w:tr>
      <w:tr w14:paraId="4E90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10426" w:type="dxa"/>
            <w:gridSpan w:val="7"/>
            <w:vAlign w:val="center"/>
          </w:tcPr>
          <w:p w14:paraId="1ADB4E3E">
            <w:pPr>
              <w:spacing w:line="300" w:lineRule="exact"/>
              <w:ind w:right="884"/>
              <w:jc w:val="left"/>
              <w:rPr>
                <w:rFonts w:ascii="Arial" w:hAnsi="Arial" w:cs="Arial"/>
                <w:bCs/>
                <w:szCs w:val="21"/>
              </w:rPr>
            </w:pPr>
            <w:r>
              <w:rPr>
                <w:rFonts w:hint="eastAsia" w:ascii="Arial" w:hAnsi="Arial" w:cs="Arial"/>
                <w:bCs/>
                <w:szCs w:val="21"/>
              </w:rPr>
              <w:t>1、请选择参会类型</w:t>
            </w:r>
          </w:p>
          <w:p w14:paraId="4A689A65">
            <w:pPr>
              <w:rPr>
                <w:rFonts w:hint="eastAsia" w:ascii="Arial" w:hAnsi="Arial" w:eastAsia="宋体" w:cs="Arial"/>
                <w:bCs/>
                <w:szCs w:val="21"/>
                <w:lang w:val="en-US" w:eastAsia="zh-CN"/>
              </w:rPr>
            </w:pPr>
            <w:r>
              <w:rPr>
                <w:rFonts w:hint="eastAsia" w:ascii="Arial" w:hAnsi="Arial" w:cs="Arial"/>
                <w:szCs w:val="21"/>
              </w:rPr>
              <w:t>国内企业</w:t>
            </w:r>
            <w:r>
              <w:rPr>
                <w:rFonts w:hint="eastAsia" w:ascii="Arial" w:hAnsi="Arial" w:cs="Arial"/>
                <w:szCs w:val="21"/>
                <w:lang w:val="en-US" w:eastAsia="zh-CN"/>
              </w:rPr>
              <w:t>5500</w:t>
            </w:r>
            <w:r>
              <w:rPr>
                <w:rFonts w:hint="eastAsia" w:ascii="Arial" w:hAnsi="Arial" w:cs="Arial"/>
                <w:szCs w:val="21"/>
              </w:rPr>
              <w:t>元/人，国外企业</w:t>
            </w:r>
            <w:r>
              <w:rPr>
                <w:rFonts w:hint="eastAsia" w:ascii="Arial" w:hAnsi="Arial" w:cs="Arial"/>
                <w:szCs w:val="21"/>
                <w:lang w:val="en-US" w:eastAsia="zh-CN"/>
              </w:rPr>
              <w:t>8</w:t>
            </w:r>
            <w:r>
              <w:rPr>
                <w:rFonts w:hint="eastAsia" w:ascii="Arial" w:hAnsi="Arial" w:cs="Arial"/>
                <w:szCs w:val="21"/>
              </w:rPr>
              <w:t>00美元/人。</w:t>
            </w:r>
            <w:r>
              <w:rPr>
                <w:rFonts w:hint="eastAsia" w:ascii="Arial" w:hAnsi="Arial" w:cs="Arial"/>
                <w:szCs w:val="21"/>
                <w:lang w:eastAsia="zh-CN"/>
              </w:rPr>
              <w:t>（现场缴费不可刷卡、需支付宝</w:t>
            </w:r>
            <w:r>
              <w:rPr>
                <w:rFonts w:hint="eastAsia" w:ascii="Arial" w:hAnsi="Arial" w:cs="Arial"/>
                <w:szCs w:val="21"/>
                <w:lang w:val="en-US" w:eastAsia="zh-CN"/>
              </w:rPr>
              <w:t>/微信付款</w:t>
            </w:r>
            <w:r>
              <w:rPr>
                <w:rFonts w:hint="eastAsia" w:ascii="Arial" w:hAnsi="Arial" w:cs="Arial"/>
                <w:szCs w:val="21"/>
                <w:lang w:eastAsia="zh-CN"/>
              </w:rPr>
              <w:t>）</w:t>
            </w:r>
          </w:p>
          <w:p w14:paraId="3D2CC48F">
            <w:pPr>
              <w:snapToGrid w:val="0"/>
              <w:spacing w:line="300" w:lineRule="exact"/>
              <w:rPr>
                <w:rFonts w:hint="eastAsia" w:ascii="Arial" w:hAnsi="Arial" w:eastAsia="宋体" w:cs="Arial"/>
                <w:bCs/>
                <w:szCs w:val="21"/>
                <w:lang w:eastAsia="zh-CN"/>
              </w:rPr>
            </w:pPr>
            <w:r>
              <w:rPr>
                <w:rFonts w:hint="eastAsia" w:ascii="Arial" w:hAnsi="Arial" w:cs="Arial"/>
                <w:bCs/>
                <w:szCs w:val="21"/>
              </w:rPr>
              <w:t>2、</w:t>
            </w:r>
            <w:r>
              <w:rPr>
                <w:rFonts w:hint="eastAsia" w:ascii="Arial" w:hAnsi="Arial" w:cs="Arial"/>
                <w:szCs w:val="21"/>
              </w:rPr>
              <w:t>会费包含：会务费、会议资料、餐饮、茶歇</w:t>
            </w:r>
            <w:r>
              <w:rPr>
                <w:rFonts w:hint="eastAsia" w:ascii="Arial" w:hAnsi="Arial" w:cs="Arial"/>
                <w:szCs w:val="21"/>
                <w:lang w:eastAsia="zh-CN"/>
              </w:rPr>
              <w:t>、伴手礼</w:t>
            </w:r>
            <w:r>
              <w:rPr>
                <w:rFonts w:hint="eastAsia" w:ascii="Arial" w:hAnsi="Arial" w:cs="Arial"/>
                <w:szCs w:val="21"/>
              </w:rPr>
              <w:t>等，不含住宿、交通费</w:t>
            </w:r>
            <w:r>
              <w:rPr>
                <w:rFonts w:hint="eastAsia" w:ascii="Arial" w:hAnsi="Arial" w:cs="Arial"/>
                <w:szCs w:val="21"/>
                <w:lang w:eastAsia="zh-CN"/>
              </w:rPr>
              <w:t>；</w:t>
            </w:r>
          </w:p>
          <w:p w14:paraId="1F0AA0E8">
            <w:pPr>
              <w:snapToGrid w:val="0"/>
              <w:spacing w:line="300" w:lineRule="exact"/>
              <w:rPr>
                <w:rFonts w:hint="eastAsia" w:ascii="Arial" w:hAnsi="Arial" w:eastAsia="宋体" w:cs="Arial"/>
                <w:bCs/>
                <w:szCs w:val="21"/>
                <w:lang w:eastAsia="zh-CN"/>
              </w:rPr>
            </w:pPr>
            <w:r>
              <w:rPr>
                <w:rFonts w:hint="eastAsia" w:ascii="Arial" w:hAnsi="Arial" w:cs="Arial"/>
                <w:bCs/>
                <w:szCs w:val="21"/>
              </w:rPr>
              <w:t>3、会议</w:t>
            </w:r>
            <w:r>
              <w:rPr>
                <w:rFonts w:hint="eastAsia" w:ascii="Arial" w:hAnsi="Arial" w:cs="Arial"/>
                <w:bCs/>
                <w:szCs w:val="21"/>
                <w:lang w:eastAsia="zh-CN"/>
              </w:rPr>
              <w:t>资料</w:t>
            </w:r>
            <w:r>
              <w:rPr>
                <w:rFonts w:hint="eastAsia" w:ascii="Arial" w:hAnsi="Arial" w:cs="Arial"/>
                <w:bCs/>
                <w:szCs w:val="21"/>
              </w:rPr>
              <w:t>：</w:t>
            </w:r>
            <w:r>
              <w:rPr>
                <w:rFonts w:hint="eastAsia" w:ascii="Arial" w:hAnsi="Arial" w:cs="Arial"/>
                <w:szCs w:val="21"/>
                <w:lang w:val="en-US" w:eastAsia="zh-CN"/>
              </w:rPr>
              <w:t>2</w:t>
            </w:r>
            <w:r>
              <w:rPr>
                <w:rFonts w:hint="eastAsia" w:ascii="Arial" w:hAnsi="Arial" w:cs="Arial"/>
                <w:szCs w:val="21"/>
              </w:rPr>
              <w:t>000元/份。</w:t>
            </w:r>
            <w:r>
              <w:rPr>
                <w:rFonts w:hint="eastAsia" w:ascii="Arial" w:hAnsi="Arial" w:cs="Arial"/>
                <w:szCs w:val="21"/>
                <w:lang w:eastAsia="zh-CN"/>
              </w:rPr>
              <w:t>（参会费包含会议资料伴手礼等，如</w:t>
            </w:r>
            <w:r>
              <w:rPr>
                <w:rFonts w:hint="eastAsia" w:ascii="Arial" w:hAnsi="Arial" w:cs="Arial"/>
                <w:szCs w:val="21"/>
                <w:lang w:val="en-US" w:eastAsia="zh-CN"/>
              </w:rPr>
              <w:t>不参会可单独购买资料</w:t>
            </w:r>
            <w:r>
              <w:rPr>
                <w:rFonts w:hint="eastAsia" w:ascii="Arial" w:hAnsi="Arial" w:cs="Arial"/>
                <w:szCs w:val="21"/>
                <w:lang w:eastAsia="zh-CN"/>
              </w:rPr>
              <w:t>）。</w:t>
            </w:r>
          </w:p>
        </w:tc>
      </w:tr>
      <w:tr w14:paraId="5DDE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jc w:val="center"/>
        </w:trPr>
        <w:tc>
          <w:tcPr>
            <w:tcW w:w="4696" w:type="dxa"/>
            <w:gridSpan w:val="4"/>
            <w:shd w:val="clear" w:color="auto" w:fill="auto"/>
            <w:vAlign w:val="center"/>
          </w:tcPr>
          <w:p w14:paraId="577C9712">
            <w:pPr>
              <w:spacing w:line="300" w:lineRule="exact"/>
              <w:jc w:val="left"/>
              <w:rPr>
                <w:rFonts w:ascii="Arial" w:hAnsi="宋体" w:cs="Arial"/>
                <w:szCs w:val="21"/>
              </w:rPr>
            </w:pPr>
            <w:r>
              <w:rPr>
                <w:rFonts w:hint="eastAsia" w:ascii="Arial" w:hAnsi="宋体" w:cs="Arial"/>
                <w:szCs w:val="21"/>
              </w:rPr>
              <w:t>付款信息：</w:t>
            </w:r>
          </w:p>
          <w:p w14:paraId="3E5FC055">
            <w:pPr>
              <w:snapToGrid w:val="0"/>
              <w:spacing w:line="300" w:lineRule="exact"/>
              <w:jc w:val="left"/>
              <w:rPr>
                <w:rFonts w:ascii="Arial" w:hAnsi="Arial" w:cs="Arial"/>
                <w:szCs w:val="21"/>
              </w:rPr>
            </w:pPr>
            <w:r>
              <w:rPr>
                <w:rFonts w:hint="eastAsia" w:ascii="Arial" w:hAnsi="宋体" w:cs="Arial"/>
                <w:szCs w:val="21"/>
              </w:rPr>
              <w:t>注意：付款单位即发票抬头，个人对公转账则开个人发票。</w:t>
            </w:r>
          </w:p>
        </w:tc>
        <w:tc>
          <w:tcPr>
            <w:tcW w:w="5730" w:type="dxa"/>
            <w:gridSpan w:val="3"/>
            <w:shd w:val="clear" w:color="auto" w:fill="auto"/>
            <w:vAlign w:val="center"/>
          </w:tcPr>
          <w:p w14:paraId="17EAA70B">
            <w:pPr>
              <w:snapToGrid w:val="0"/>
              <w:spacing w:line="300" w:lineRule="exact"/>
              <w:rPr>
                <w:rFonts w:hint="eastAsia" w:ascii="Arial" w:hAnsi="Arial" w:cs="Arial"/>
                <w:szCs w:val="21"/>
              </w:rPr>
            </w:pPr>
            <w:r>
              <w:rPr>
                <w:rFonts w:hint="eastAsia" w:ascii="Arial" w:hAnsi="Arial" w:cs="Arial"/>
                <w:szCs w:val="21"/>
              </w:rPr>
              <w:t>公司名称：北京阿拉丁中营商务咨询有限公司</w:t>
            </w:r>
          </w:p>
          <w:p w14:paraId="5F39D0EB">
            <w:pPr>
              <w:snapToGrid w:val="0"/>
              <w:spacing w:line="300" w:lineRule="exact"/>
              <w:rPr>
                <w:rFonts w:hint="eastAsia" w:ascii="Arial" w:hAnsi="Arial" w:cs="Arial"/>
                <w:szCs w:val="21"/>
              </w:rPr>
            </w:pPr>
            <w:r>
              <w:rPr>
                <w:rFonts w:hint="eastAsia" w:ascii="Arial" w:hAnsi="Arial" w:cs="Arial"/>
                <w:szCs w:val="21"/>
              </w:rPr>
              <w:t>开户行： 中国工商银行北京新街口支行</w:t>
            </w:r>
          </w:p>
          <w:p w14:paraId="3BC9D9D2">
            <w:pPr>
              <w:snapToGrid w:val="0"/>
              <w:spacing w:line="300" w:lineRule="exact"/>
              <w:rPr>
                <w:rFonts w:ascii="Arial" w:hAnsi="Arial" w:cs="Arial"/>
                <w:szCs w:val="21"/>
              </w:rPr>
            </w:pPr>
            <w:r>
              <w:rPr>
                <w:rFonts w:hint="eastAsia" w:ascii="Arial" w:hAnsi="Arial" w:cs="Arial"/>
                <w:szCs w:val="21"/>
              </w:rPr>
              <w:t>账号： 0200002919200405382</w:t>
            </w:r>
          </w:p>
        </w:tc>
      </w:tr>
      <w:tr w14:paraId="76C0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0426" w:type="dxa"/>
            <w:gridSpan w:val="7"/>
            <w:vAlign w:val="center"/>
          </w:tcPr>
          <w:p w14:paraId="0CB717A4">
            <w:pPr>
              <w:snapToGrid w:val="0"/>
              <w:spacing w:line="300" w:lineRule="exact"/>
              <w:rPr>
                <w:rFonts w:ascii="Arial" w:hAnsi="Arial" w:cs="Arial"/>
                <w:bCs/>
                <w:szCs w:val="21"/>
              </w:rPr>
            </w:pPr>
            <w:r>
              <w:rPr>
                <w:rFonts w:hint="eastAsia" w:ascii="Arial" w:hAnsi="宋体" w:cs="Arial"/>
                <w:bCs/>
                <w:szCs w:val="21"/>
              </w:rPr>
              <w:t>会务费用：大写</w:t>
            </w:r>
            <w:r>
              <w:rPr>
                <w:rFonts w:ascii="Arial" w:hAnsi="Arial" w:cs="Arial"/>
                <w:bCs/>
                <w:szCs w:val="21"/>
              </w:rPr>
              <w:t>:</w:t>
            </w:r>
            <w:r>
              <w:rPr>
                <w:rFonts w:hint="eastAsia" w:ascii="Arial" w:hAnsi="Arial" w:cs="Arial"/>
                <w:bCs/>
                <w:szCs w:val="21"/>
                <w:u w:val="single"/>
                <w:lang w:val="en-US" w:eastAsia="zh-CN"/>
              </w:rPr>
              <w:t xml:space="preserve">             </w:t>
            </w:r>
            <w:r>
              <w:rPr>
                <w:rFonts w:hint="eastAsia" w:ascii="Arial" w:hAnsi="宋体" w:cs="Arial"/>
                <w:bCs/>
                <w:szCs w:val="21"/>
              </w:rPr>
              <w:t>元整 小写：</w:t>
            </w:r>
            <w:r>
              <w:rPr>
                <w:rFonts w:ascii="Arial" w:hAnsi="Arial" w:cs="Arial"/>
                <w:bCs/>
                <w:szCs w:val="21"/>
              </w:rPr>
              <w:t>¥</w:t>
            </w:r>
            <w:r>
              <w:rPr>
                <w:rFonts w:hint="eastAsia" w:ascii="Arial" w:hAnsi="Arial" w:cs="Arial"/>
                <w:bCs/>
                <w:szCs w:val="21"/>
                <w:u w:val="single"/>
              </w:rPr>
              <w:t xml:space="preserve">            </w:t>
            </w:r>
            <w:r>
              <w:rPr>
                <w:rFonts w:hint="eastAsia" w:ascii="Arial" w:hAnsi="Arial" w:cs="Arial"/>
                <w:bCs/>
                <w:szCs w:val="21"/>
              </w:rPr>
              <w:t xml:space="preserve"> 于</w:t>
            </w:r>
            <w:r>
              <w:rPr>
                <w:rFonts w:hint="eastAsia" w:ascii="Arial" w:hAnsi="Arial" w:cs="Arial"/>
                <w:szCs w:val="21"/>
                <w:u w:val="single"/>
                <w:lang w:val="en-US" w:eastAsia="zh-CN"/>
              </w:rPr>
              <w:t xml:space="preserve">       </w:t>
            </w:r>
            <w:r>
              <w:rPr>
                <w:rFonts w:hint="eastAsia" w:ascii="Arial" w:hAnsi="宋体" w:cs="Arial"/>
                <w:szCs w:val="21"/>
              </w:rPr>
              <w:t>年</w:t>
            </w:r>
            <w:r>
              <w:rPr>
                <w:rFonts w:hint="eastAsia" w:ascii="Arial" w:hAnsi="宋体" w:cs="Arial"/>
                <w:szCs w:val="21"/>
                <w:u w:val="single"/>
                <w:lang w:val="en-US" w:eastAsia="zh-CN"/>
              </w:rPr>
              <w:t xml:space="preserve">      </w:t>
            </w:r>
            <w:r>
              <w:rPr>
                <w:rFonts w:hint="eastAsia" w:ascii="Arial" w:hAnsi="宋体" w:cs="Arial"/>
                <w:szCs w:val="21"/>
              </w:rPr>
              <w:t>月</w:t>
            </w:r>
            <w:r>
              <w:rPr>
                <w:rFonts w:hint="eastAsia" w:ascii="Arial" w:hAnsi="宋体" w:cs="Arial"/>
                <w:szCs w:val="21"/>
                <w:u w:val="single"/>
              </w:rPr>
              <w:t xml:space="preserve"> </w:t>
            </w:r>
            <w:r>
              <w:rPr>
                <w:rFonts w:hint="eastAsia" w:ascii="Arial" w:hAnsi="宋体" w:cs="Arial"/>
                <w:szCs w:val="21"/>
                <w:u w:val="single"/>
                <w:lang w:val="en-US" w:eastAsia="zh-CN"/>
              </w:rPr>
              <w:t xml:space="preserve">    </w:t>
            </w:r>
            <w:r>
              <w:rPr>
                <w:rFonts w:hint="eastAsia" w:ascii="Arial" w:hAnsi="宋体" w:cs="Arial"/>
                <w:szCs w:val="21"/>
                <w:u w:val="single"/>
              </w:rPr>
              <w:t xml:space="preserve">  </w:t>
            </w:r>
            <w:r>
              <w:rPr>
                <w:rFonts w:hint="eastAsia" w:ascii="Arial" w:hAnsi="宋体" w:cs="Arial"/>
                <w:szCs w:val="21"/>
              </w:rPr>
              <w:t>日汇出</w:t>
            </w:r>
          </w:p>
        </w:tc>
      </w:tr>
      <w:tr w14:paraId="21BA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426" w:type="dxa"/>
            <w:gridSpan w:val="7"/>
            <w:vAlign w:val="center"/>
          </w:tcPr>
          <w:p w14:paraId="5B31B1B5">
            <w:pPr>
              <w:snapToGrid w:val="0"/>
              <w:spacing w:line="300" w:lineRule="exact"/>
              <w:jc w:val="center"/>
            </w:pPr>
            <w:r>
              <w:rPr>
                <w:rFonts w:hint="eastAsia" w:ascii="宋体" w:hAnsi="宋体" w:cs="Arial"/>
                <w:b/>
                <w:bCs w:val="0"/>
                <w:color w:val="C00000"/>
                <w:sz w:val="24"/>
                <w:szCs w:val="24"/>
              </w:rPr>
              <w:t>会议酒店</w:t>
            </w:r>
            <w:r>
              <w:rPr>
                <w:rFonts w:hint="eastAsia" w:ascii="宋体" w:hAnsi="宋体" w:cs="Arial"/>
                <w:b/>
                <w:bCs w:val="0"/>
                <w:color w:val="C00000"/>
                <w:sz w:val="24"/>
                <w:szCs w:val="24"/>
                <w:lang w:eastAsia="zh-CN"/>
              </w:rPr>
              <w:t>：</w:t>
            </w:r>
            <w:r>
              <w:rPr>
                <w:rFonts w:hint="eastAsia" w:ascii="宋体" w:hAnsi="宋体" w:cs="Arial"/>
                <w:b/>
                <w:bCs w:val="0"/>
                <w:color w:val="C00000"/>
                <w:sz w:val="24"/>
                <w:szCs w:val="24"/>
                <w:lang w:val="en-US" w:eastAsia="zh-CN"/>
              </w:rPr>
              <w:t>待定</w:t>
            </w:r>
            <w:r>
              <w:rPr>
                <w:rFonts w:hint="eastAsia" w:ascii="宋体" w:hAnsi="宋体" w:cs="Arial"/>
                <w:b/>
                <w:bCs w:val="0"/>
                <w:color w:val="C00000"/>
                <w:sz w:val="24"/>
                <w:szCs w:val="24"/>
              </w:rPr>
              <w:t>（预定</w:t>
            </w:r>
            <w:r>
              <w:rPr>
                <w:rFonts w:hint="eastAsia" w:ascii="宋体" w:hAnsi="宋体" w:cs="Arial"/>
                <w:b/>
                <w:bCs w:val="0"/>
                <w:color w:val="C00000"/>
                <w:sz w:val="24"/>
                <w:szCs w:val="24"/>
                <w:lang w:eastAsia="zh-CN"/>
              </w:rPr>
              <w:t>姓名</w:t>
            </w:r>
            <w:r>
              <w:rPr>
                <w:rFonts w:hint="eastAsia" w:ascii="宋体" w:hAnsi="宋体" w:cs="Arial"/>
                <w:b/>
                <w:bCs w:val="0"/>
                <w:color w:val="C00000"/>
                <w:sz w:val="24"/>
                <w:szCs w:val="24"/>
              </w:rPr>
              <w:t>和入住</w:t>
            </w:r>
            <w:r>
              <w:rPr>
                <w:rFonts w:hint="eastAsia" w:ascii="宋体" w:hAnsi="宋体" w:cs="Arial"/>
                <w:b/>
                <w:bCs w:val="0"/>
                <w:color w:val="C00000"/>
                <w:sz w:val="24"/>
                <w:szCs w:val="24"/>
                <w:lang w:eastAsia="zh-CN"/>
              </w:rPr>
              <w:t>姓名</w:t>
            </w:r>
            <w:r>
              <w:rPr>
                <w:rFonts w:hint="eastAsia" w:ascii="宋体" w:hAnsi="宋体" w:cs="Arial"/>
                <w:b/>
                <w:bCs w:val="0"/>
                <w:color w:val="C00000"/>
                <w:sz w:val="24"/>
                <w:szCs w:val="24"/>
              </w:rPr>
              <w:t>信息须一致）</w:t>
            </w:r>
          </w:p>
        </w:tc>
      </w:tr>
      <w:tr w14:paraId="7A28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4696" w:type="dxa"/>
            <w:gridSpan w:val="4"/>
            <w:vAlign w:val="center"/>
          </w:tcPr>
          <w:p w14:paraId="77BFE0C9">
            <w:pPr>
              <w:snapToGrid w:val="0"/>
              <w:spacing w:line="300" w:lineRule="exact"/>
              <w:jc w:val="center"/>
              <w:rPr>
                <w:rFonts w:hint="eastAsia" w:ascii="宋体" w:hAnsi="宋体" w:eastAsia="宋体" w:cs="Arial"/>
                <w:b/>
                <w:bCs w:val="0"/>
                <w:color w:val="C00000"/>
                <w:szCs w:val="21"/>
                <w:lang w:val="en-US" w:eastAsia="zh-CN"/>
              </w:rPr>
            </w:pPr>
            <w:r>
              <w:rPr>
                <w:rFonts w:hint="eastAsia" w:ascii="Arial" w:hAnsi="宋体" w:cs="Arial"/>
                <w:szCs w:val="21"/>
                <w:lang w:eastAsia="zh-CN"/>
              </w:rPr>
              <w:t>豪华</w:t>
            </w:r>
            <w:r>
              <w:rPr>
                <w:rFonts w:hint="eastAsia" w:ascii="Arial" w:hAnsi="宋体" w:cs="Arial"/>
                <w:szCs w:val="21"/>
              </w:rPr>
              <w:t>大床房</w:t>
            </w:r>
            <w:r>
              <w:rPr>
                <w:rFonts w:hint="eastAsia" w:ascii="Arial" w:hAnsi="宋体" w:cs="Arial"/>
                <w:szCs w:val="21"/>
                <w:lang w:eastAsia="zh-CN"/>
              </w:rPr>
              <w:t>：元</w:t>
            </w:r>
            <w:r>
              <w:rPr>
                <w:rFonts w:hint="eastAsia" w:ascii="Arial" w:hAnsi="宋体" w:cs="Arial"/>
                <w:szCs w:val="21"/>
              </w:rPr>
              <w:t>/间/晚</w:t>
            </w:r>
            <w:r>
              <w:rPr>
                <w:rFonts w:hint="eastAsia" w:ascii="Arial" w:hAnsi="宋体" w:cs="Arial"/>
                <w:szCs w:val="21"/>
                <w:lang w:eastAsia="zh-CN"/>
              </w:rPr>
              <w:t>（含</w:t>
            </w:r>
            <w:r>
              <w:rPr>
                <w:rFonts w:hint="eastAsia" w:ascii="Arial" w:hAnsi="宋体" w:cs="Arial"/>
                <w:szCs w:val="21"/>
                <w:lang w:val="en-US" w:eastAsia="zh-CN"/>
              </w:rPr>
              <w:t>单早</w:t>
            </w:r>
            <w:r>
              <w:rPr>
                <w:rFonts w:hint="eastAsia" w:ascii="Arial" w:hAnsi="宋体" w:cs="Arial"/>
                <w:szCs w:val="21"/>
                <w:lang w:eastAsia="zh-CN"/>
              </w:rPr>
              <w:t>）</w:t>
            </w:r>
          </w:p>
        </w:tc>
        <w:tc>
          <w:tcPr>
            <w:tcW w:w="5730" w:type="dxa"/>
            <w:gridSpan w:val="3"/>
            <w:vAlign w:val="center"/>
          </w:tcPr>
          <w:p w14:paraId="6A77D5AC">
            <w:pPr>
              <w:snapToGrid w:val="0"/>
              <w:spacing w:line="300" w:lineRule="exact"/>
              <w:jc w:val="center"/>
              <w:rPr>
                <w:rFonts w:hint="eastAsia" w:ascii="Arial" w:hAnsi="宋体" w:eastAsia="宋体" w:cs="Arial"/>
                <w:szCs w:val="21"/>
                <w:lang w:eastAsia="zh-CN"/>
              </w:rPr>
            </w:pPr>
            <w:r>
              <w:rPr>
                <w:rFonts w:hint="eastAsia" w:ascii="Arial" w:hAnsi="宋体" w:cs="Arial"/>
                <w:szCs w:val="21"/>
                <w:lang w:eastAsia="zh-CN"/>
              </w:rPr>
              <w:t>（</w:t>
            </w:r>
            <w:r>
              <w:rPr>
                <w:rFonts w:hint="eastAsia" w:ascii="Arial" w:hAnsi="宋体" w:cs="Arial"/>
                <w:szCs w:val="21"/>
                <w:lang w:val="en-US" w:eastAsia="zh-CN"/>
              </w:rPr>
              <w:t xml:space="preserve">  </w:t>
            </w:r>
            <w:r>
              <w:rPr>
                <w:rFonts w:hint="eastAsia" w:ascii="Arial" w:hAnsi="宋体" w:cs="Arial"/>
                <w:szCs w:val="21"/>
                <w:lang w:eastAsia="zh-CN"/>
              </w:rPr>
              <w:t>）间</w:t>
            </w:r>
          </w:p>
        </w:tc>
      </w:tr>
      <w:tr w14:paraId="36DA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4696" w:type="dxa"/>
            <w:gridSpan w:val="4"/>
            <w:vAlign w:val="center"/>
          </w:tcPr>
          <w:p w14:paraId="4B4C3912">
            <w:pPr>
              <w:snapToGrid w:val="0"/>
              <w:spacing w:line="300" w:lineRule="exact"/>
              <w:jc w:val="center"/>
              <w:rPr>
                <w:rFonts w:hint="eastAsia" w:ascii="Arial" w:hAnsi="宋体" w:eastAsia="宋体" w:cs="Arial"/>
                <w:szCs w:val="21"/>
                <w:lang w:eastAsia="zh-CN"/>
              </w:rPr>
            </w:pPr>
            <w:r>
              <w:rPr>
                <w:rFonts w:hint="eastAsia" w:ascii="Arial" w:hAnsi="宋体" w:cs="Arial"/>
                <w:szCs w:val="21"/>
                <w:lang w:eastAsia="zh-CN"/>
              </w:rPr>
              <w:t>豪华双</w:t>
            </w:r>
            <w:r>
              <w:rPr>
                <w:rFonts w:hint="eastAsia" w:ascii="Arial" w:hAnsi="宋体" w:cs="Arial"/>
                <w:szCs w:val="21"/>
              </w:rPr>
              <w:t>床房</w:t>
            </w:r>
            <w:r>
              <w:rPr>
                <w:rFonts w:hint="eastAsia" w:ascii="Arial" w:hAnsi="宋体" w:cs="Arial"/>
                <w:szCs w:val="21"/>
                <w:lang w:eastAsia="zh-CN"/>
              </w:rPr>
              <w:t>：元</w:t>
            </w:r>
            <w:r>
              <w:rPr>
                <w:rFonts w:hint="eastAsia" w:ascii="Arial" w:hAnsi="宋体" w:cs="Arial"/>
                <w:szCs w:val="21"/>
              </w:rPr>
              <w:t>/间/晚</w:t>
            </w:r>
            <w:r>
              <w:rPr>
                <w:rFonts w:hint="eastAsia" w:ascii="Arial" w:hAnsi="宋体" w:cs="Arial"/>
                <w:szCs w:val="21"/>
                <w:lang w:eastAsia="zh-CN"/>
              </w:rPr>
              <w:t>（含</w:t>
            </w:r>
            <w:r>
              <w:rPr>
                <w:rFonts w:hint="eastAsia" w:ascii="Arial" w:hAnsi="宋体" w:cs="Arial"/>
                <w:szCs w:val="21"/>
                <w:lang w:val="en-US" w:eastAsia="zh-CN"/>
              </w:rPr>
              <w:t>单早</w:t>
            </w:r>
            <w:r>
              <w:rPr>
                <w:rFonts w:hint="eastAsia" w:ascii="Arial" w:hAnsi="宋体" w:cs="Arial"/>
                <w:szCs w:val="21"/>
                <w:lang w:eastAsia="zh-CN"/>
              </w:rPr>
              <w:t>）</w:t>
            </w:r>
          </w:p>
        </w:tc>
        <w:tc>
          <w:tcPr>
            <w:tcW w:w="5730" w:type="dxa"/>
            <w:gridSpan w:val="3"/>
            <w:vAlign w:val="center"/>
          </w:tcPr>
          <w:p w14:paraId="7814B521">
            <w:pPr>
              <w:snapToGrid w:val="0"/>
              <w:spacing w:line="300" w:lineRule="exact"/>
              <w:jc w:val="center"/>
              <w:rPr>
                <w:rFonts w:hint="eastAsia" w:ascii="宋体" w:hAnsi="宋体" w:eastAsia="宋体" w:cs="宋体"/>
                <w:color w:val="FF0000"/>
                <w:szCs w:val="21"/>
                <w:lang w:val="en-US" w:eastAsia="zh-CN"/>
              </w:rPr>
            </w:pPr>
            <w:r>
              <w:rPr>
                <w:rFonts w:hint="eastAsia" w:ascii="Arial" w:hAnsi="宋体" w:cs="Arial"/>
                <w:szCs w:val="21"/>
                <w:lang w:eastAsia="zh-CN"/>
              </w:rPr>
              <w:t>（</w:t>
            </w:r>
            <w:r>
              <w:rPr>
                <w:rFonts w:hint="eastAsia" w:ascii="Arial" w:hAnsi="宋体" w:cs="Arial"/>
                <w:szCs w:val="21"/>
                <w:lang w:val="en-US" w:eastAsia="zh-CN"/>
              </w:rPr>
              <w:t xml:space="preserve">  </w:t>
            </w:r>
            <w:r>
              <w:rPr>
                <w:rFonts w:hint="eastAsia" w:ascii="Arial" w:hAnsi="宋体" w:cs="Arial"/>
                <w:szCs w:val="21"/>
                <w:lang w:eastAsia="zh-CN"/>
              </w:rPr>
              <w:t>）间</w:t>
            </w:r>
          </w:p>
        </w:tc>
      </w:tr>
      <w:tr w14:paraId="4B70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426" w:type="dxa"/>
            <w:gridSpan w:val="7"/>
            <w:vAlign w:val="center"/>
          </w:tcPr>
          <w:p w14:paraId="09F35361">
            <w:pPr>
              <w:snapToGrid w:val="0"/>
              <w:spacing w:line="300" w:lineRule="exact"/>
              <w:jc w:val="center"/>
              <w:rPr>
                <w:rFonts w:hint="eastAsia" w:ascii="宋体" w:hAnsi="宋体" w:eastAsia="宋体" w:cs="宋体"/>
                <w:color w:val="FF0000"/>
                <w:szCs w:val="21"/>
                <w:lang w:val="en-US" w:eastAsia="zh-CN"/>
              </w:rPr>
            </w:pPr>
            <w:r>
              <w:rPr>
                <w:rFonts w:hint="eastAsia" w:ascii="宋体" w:hAnsi="宋体" w:cs="Arial"/>
                <w:b/>
                <w:bCs w:val="0"/>
                <w:color w:val="C00000"/>
                <w:sz w:val="24"/>
                <w:szCs w:val="24"/>
                <w:lang w:val="en-US" w:eastAsia="zh-CN"/>
              </w:rPr>
              <w:t>第二住宿酒店：待定</w:t>
            </w:r>
            <w:r>
              <w:rPr>
                <w:rFonts w:hint="eastAsia" w:ascii="宋体" w:hAnsi="宋体" w:cs="Arial"/>
                <w:b/>
                <w:bCs w:val="0"/>
                <w:color w:val="C00000"/>
                <w:sz w:val="24"/>
                <w:szCs w:val="24"/>
              </w:rPr>
              <w:t>（预定</w:t>
            </w:r>
            <w:r>
              <w:rPr>
                <w:rFonts w:hint="eastAsia" w:ascii="宋体" w:hAnsi="宋体" w:cs="Arial"/>
                <w:b/>
                <w:bCs w:val="0"/>
                <w:color w:val="C00000"/>
                <w:sz w:val="24"/>
                <w:szCs w:val="24"/>
                <w:lang w:eastAsia="zh-CN"/>
              </w:rPr>
              <w:t>姓名</w:t>
            </w:r>
            <w:r>
              <w:rPr>
                <w:rFonts w:hint="eastAsia" w:ascii="宋体" w:hAnsi="宋体" w:cs="Arial"/>
                <w:b/>
                <w:bCs w:val="0"/>
                <w:color w:val="C00000"/>
                <w:sz w:val="24"/>
                <w:szCs w:val="24"/>
              </w:rPr>
              <w:t>和入住</w:t>
            </w:r>
            <w:r>
              <w:rPr>
                <w:rFonts w:hint="eastAsia" w:ascii="宋体" w:hAnsi="宋体" w:cs="Arial"/>
                <w:b/>
                <w:bCs w:val="0"/>
                <w:color w:val="C00000"/>
                <w:sz w:val="24"/>
                <w:szCs w:val="24"/>
                <w:lang w:eastAsia="zh-CN"/>
              </w:rPr>
              <w:t>姓名</w:t>
            </w:r>
            <w:r>
              <w:rPr>
                <w:rFonts w:hint="eastAsia" w:ascii="宋体" w:hAnsi="宋体" w:cs="Arial"/>
                <w:b/>
                <w:bCs w:val="0"/>
                <w:color w:val="C00000"/>
                <w:sz w:val="24"/>
                <w:szCs w:val="24"/>
              </w:rPr>
              <w:t>信息须一致</w:t>
            </w:r>
            <w:r>
              <w:rPr>
                <w:rFonts w:hint="eastAsia" w:ascii="宋体" w:hAnsi="宋体" w:cs="Arial"/>
                <w:b/>
                <w:bCs w:val="0"/>
                <w:color w:val="C00000"/>
                <w:szCs w:val="21"/>
              </w:rPr>
              <w:t>）</w:t>
            </w:r>
          </w:p>
        </w:tc>
      </w:tr>
      <w:tr w14:paraId="5A10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4696" w:type="dxa"/>
            <w:gridSpan w:val="4"/>
            <w:vAlign w:val="center"/>
          </w:tcPr>
          <w:p w14:paraId="62EE957E">
            <w:pPr>
              <w:snapToGrid w:val="0"/>
              <w:spacing w:line="300" w:lineRule="exact"/>
              <w:jc w:val="center"/>
              <w:rPr>
                <w:rFonts w:hint="eastAsia" w:ascii="宋体" w:hAnsi="宋体" w:eastAsia="宋体" w:cs="Arial"/>
                <w:b/>
                <w:bCs w:val="0"/>
                <w:color w:val="C00000"/>
                <w:szCs w:val="21"/>
                <w:lang w:val="en-US" w:eastAsia="zh-CN"/>
              </w:rPr>
            </w:pPr>
            <w:r>
              <w:rPr>
                <w:rFonts w:hint="eastAsia" w:ascii="Arial" w:hAnsi="宋体" w:cs="Arial"/>
                <w:szCs w:val="21"/>
              </w:rPr>
              <w:t>大床房</w:t>
            </w:r>
            <w:r>
              <w:rPr>
                <w:rFonts w:hint="eastAsia" w:ascii="Arial" w:hAnsi="宋体" w:cs="Arial"/>
                <w:szCs w:val="21"/>
                <w:lang w:eastAsia="zh-CN"/>
              </w:rPr>
              <w:t>：元</w:t>
            </w:r>
            <w:r>
              <w:rPr>
                <w:rFonts w:hint="eastAsia" w:ascii="Arial" w:hAnsi="宋体" w:cs="Arial"/>
                <w:szCs w:val="21"/>
              </w:rPr>
              <w:t>/间/晚</w:t>
            </w:r>
            <w:r>
              <w:rPr>
                <w:rFonts w:hint="eastAsia" w:ascii="Arial" w:hAnsi="宋体" w:cs="Arial"/>
                <w:szCs w:val="21"/>
                <w:lang w:eastAsia="zh-CN"/>
              </w:rPr>
              <w:t>（含</w:t>
            </w:r>
            <w:r>
              <w:rPr>
                <w:rFonts w:hint="eastAsia" w:ascii="Arial" w:hAnsi="宋体" w:cs="Arial"/>
                <w:szCs w:val="21"/>
                <w:lang w:val="en-US" w:eastAsia="zh-CN"/>
              </w:rPr>
              <w:t>单早</w:t>
            </w:r>
            <w:r>
              <w:rPr>
                <w:rFonts w:hint="eastAsia" w:ascii="Arial" w:hAnsi="宋体" w:cs="Arial"/>
                <w:szCs w:val="21"/>
                <w:lang w:eastAsia="zh-CN"/>
              </w:rPr>
              <w:t>）</w:t>
            </w:r>
          </w:p>
        </w:tc>
        <w:tc>
          <w:tcPr>
            <w:tcW w:w="5730" w:type="dxa"/>
            <w:gridSpan w:val="3"/>
            <w:vAlign w:val="center"/>
          </w:tcPr>
          <w:p w14:paraId="7B8AF060">
            <w:pPr>
              <w:snapToGrid w:val="0"/>
              <w:spacing w:line="300" w:lineRule="exact"/>
              <w:jc w:val="center"/>
              <w:rPr>
                <w:rFonts w:hint="eastAsia" w:ascii="宋体" w:hAnsi="宋体" w:cs="Arial"/>
                <w:b/>
                <w:bCs w:val="0"/>
                <w:color w:val="C00000"/>
                <w:szCs w:val="21"/>
                <w:lang w:val="en-US" w:eastAsia="zh-CN"/>
              </w:rPr>
            </w:pPr>
            <w:r>
              <w:rPr>
                <w:rFonts w:hint="eastAsia" w:ascii="Arial" w:hAnsi="宋体" w:cs="Arial"/>
                <w:szCs w:val="21"/>
                <w:lang w:eastAsia="zh-CN"/>
              </w:rPr>
              <w:t>（</w:t>
            </w:r>
            <w:r>
              <w:rPr>
                <w:rFonts w:hint="eastAsia" w:ascii="Arial" w:hAnsi="宋体" w:cs="Arial"/>
                <w:szCs w:val="21"/>
                <w:lang w:val="en-US" w:eastAsia="zh-CN"/>
              </w:rPr>
              <w:t xml:space="preserve">  </w:t>
            </w:r>
            <w:r>
              <w:rPr>
                <w:rFonts w:hint="eastAsia" w:ascii="Arial" w:hAnsi="宋体" w:cs="Arial"/>
                <w:szCs w:val="21"/>
                <w:lang w:eastAsia="zh-CN"/>
              </w:rPr>
              <w:t>）间</w:t>
            </w:r>
          </w:p>
        </w:tc>
      </w:tr>
      <w:tr w14:paraId="7E1A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4696" w:type="dxa"/>
            <w:gridSpan w:val="4"/>
            <w:vAlign w:val="center"/>
          </w:tcPr>
          <w:p w14:paraId="3F4E9C87">
            <w:pPr>
              <w:snapToGrid w:val="0"/>
              <w:spacing w:line="300" w:lineRule="exact"/>
              <w:jc w:val="center"/>
              <w:rPr>
                <w:rFonts w:hint="eastAsia" w:ascii="宋体" w:hAnsi="宋体" w:eastAsia="宋体" w:cs="Arial"/>
                <w:b/>
                <w:bCs w:val="0"/>
                <w:color w:val="C00000"/>
                <w:szCs w:val="21"/>
                <w:lang w:val="en-US" w:eastAsia="zh-CN"/>
              </w:rPr>
            </w:pPr>
            <w:r>
              <w:rPr>
                <w:rFonts w:hint="eastAsia" w:ascii="Arial" w:hAnsi="宋体" w:cs="Arial"/>
                <w:szCs w:val="21"/>
                <w:lang w:eastAsia="zh-CN"/>
              </w:rPr>
              <w:t>双</w:t>
            </w:r>
            <w:r>
              <w:rPr>
                <w:rFonts w:hint="eastAsia" w:ascii="Arial" w:hAnsi="宋体" w:cs="Arial"/>
                <w:szCs w:val="21"/>
              </w:rPr>
              <w:t>床房</w:t>
            </w:r>
            <w:r>
              <w:rPr>
                <w:rFonts w:hint="eastAsia" w:ascii="Arial" w:hAnsi="宋体" w:cs="Arial"/>
                <w:szCs w:val="21"/>
                <w:lang w:eastAsia="zh-CN"/>
              </w:rPr>
              <w:t>：元</w:t>
            </w:r>
            <w:r>
              <w:rPr>
                <w:rFonts w:hint="eastAsia" w:ascii="Arial" w:hAnsi="宋体" w:cs="Arial"/>
                <w:szCs w:val="21"/>
              </w:rPr>
              <w:t>/间/晚</w:t>
            </w:r>
            <w:r>
              <w:rPr>
                <w:rFonts w:hint="eastAsia" w:ascii="Arial" w:hAnsi="宋体" w:cs="Arial"/>
                <w:szCs w:val="21"/>
                <w:lang w:eastAsia="zh-CN"/>
              </w:rPr>
              <w:t>（含</w:t>
            </w:r>
            <w:r>
              <w:rPr>
                <w:rFonts w:hint="eastAsia" w:ascii="Arial" w:hAnsi="宋体" w:cs="Arial"/>
                <w:szCs w:val="21"/>
                <w:lang w:val="en-US" w:eastAsia="zh-CN"/>
              </w:rPr>
              <w:t>单早</w:t>
            </w:r>
            <w:r>
              <w:rPr>
                <w:rFonts w:hint="eastAsia" w:ascii="Arial" w:hAnsi="宋体" w:cs="Arial"/>
                <w:szCs w:val="21"/>
                <w:lang w:eastAsia="zh-CN"/>
              </w:rPr>
              <w:t>）</w:t>
            </w:r>
          </w:p>
        </w:tc>
        <w:tc>
          <w:tcPr>
            <w:tcW w:w="5730" w:type="dxa"/>
            <w:gridSpan w:val="3"/>
            <w:vAlign w:val="center"/>
          </w:tcPr>
          <w:p w14:paraId="4A45CECB">
            <w:pPr>
              <w:snapToGrid w:val="0"/>
              <w:spacing w:line="300" w:lineRule="exact"/>
              <w:jc w:val="center"/>
              <w:rPr>
                <w:rFonts w:hint="eastAsia" w:ascii="宋体" w:hAnsi="宋体" w:cs="Arial"/>
                <w:b/>
                <w:bCs w:val="0"/>
                <w:color w:val="C00000"/>
                <w:szCs w:val="21"/>
                <w:lang w:val="en-US" w:eastAsia="zh-CN"/>
              </w:rPr>
            </w:pPr>
            <w:r>
              <w:rPr>
                <w:rFonts w:hint="eastAsia" w:ascii="Arial" w:hAnsi="宋体" w:cs="Arial"/>
                <w:szCs w:val="21"/>
                <w:lang w:eastAsia="zh-CN"/>
              </w:rPr>
              <w:t>（</w:t>
            </w:r>
            <w:r>
              <w:rPr>
                <w:rFonts w:hint="eastAsia" w:ascii="Arial" w:hAnsi="宋体" w:cs="Arial"/>
                <w:szCs w:val="21"/>
                <w:lang w:val="en-US" w:eastAsia="zh-CN"/>
              </w:rPr>
              <w:t xml:space="preserve">  </w:t>
            </w:r>
            <w:r>
              <w:rPr>
                <w:rFonts w:hint="eastAsia" w:ascii="Arial" w:hAnsi="宋体" w:cs="Arial"/>
                <w:szCs w:val="21"/>
                <w:lang w:eastAsia="zh-CN"/>
              </w:rPr>
              <w:t>）间</w:t>
            </w:r>
          </w:p>
        </w:tc>
      </w:tr>
      <w:tr w14:paraId="57C4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0426" w:type="dxa"/>
            <w:gridSpan w:val="7"/>
            <w:vAlign w:val="center"/>
          </w:tcPr>
          <w:p w14:paraId="1886D9DA">
            <w:pPr>
              <w:snapToGrid w:val="0"/>
              <w:spacing w:line="300" w:lineRule="exact"/>
              <w:jc w:val="center"/>
              <w:rPr>
                <w:rFonts w:hint="eastAsia" w:ascii="Arial" w:hAnsi="宋体" w:cs="Arial"/>
                <w:szCs w:val="21"/>
                <w:lang w:val="en-US" w:eastAsia="zh-CN"/>
              </w:rPr>
            </w:pPr>
            <w:r>
              <w:rPr>
                <w:rFonts w:hint="eastAsia" w:ascii="宋体" w:hAnsi="宋体" w:eastAsia="宋体" w:cs="宋体"/>
                <w:color w:val="FF0000"/>
                <w:sz w:val="20"/>
                <w:szCs w:val="20"/>
                <w:lang w:val="en-US" w:eastAsia="zh-CN"/>
              </w:rPr>
              <w:t>注：</w:t>
            </w:r>
            <w:r>
              <w:rPr>
                <w:rFonts w:hint="eastAsia" w:ascii="宋体" w:hAnsi="宋体" w:cs="宋体"/>
                <w:color w:val="FF0000"/>
                <w:sz w:val="20"/>
                <w:szCs w:val="20"/>
                <w:lang w:val="en-US" w:eastAsia="zh-CN"/>
              </w:rPr>
              <w:t>两个住宿酒店均含单早，如需双早请入住时与酒店前台沟通补差价。</w:t>
            </w:r>
          </w:p>
        </w:tc>
      </w:tr>
      <w:tr w14:paraId="1589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8" w:hRule="atLeast"/>
          <w:jc w:val="center"/>
        </w:trPr>
        <w:tc>
          <w:tcPr>
            <w:tcW w:w="10426" w:type="dxa"/>
            <w:gridSpan w:val="7"/>
            <w:vAlign w:val="center"/>
          </w:tcPr>
          <w:p w14:paraId="38E583DA">
            <w:pPr>
              <w:snapToGrid w:val="0"/>
              <w:spacing w:line="300" w:lineRule="exact"/>
              <w:rPr>
                <w:rFonts w:ascii="宋体" w:cs="Arial"/>
                <w:bCs/>
                <w:szCs w:val="21"/>
              </w:rPr>
            </w:pPr>
            <w:r>
              <w:rPr>
                <w:rFonts w:hint="eastAsia" w:ascii="宋体" w:hAnsi="宋体" w:cs="Arial"/>
                <w:bCs/>
                <w:szCs w:val="21"/>
              </w:rPr>
              <w:t>注</w:t>
            </w:r>
            <w:r>
              <w:rPr>
                <w:rFonts w:ascii="宋体" w:hAnsi="宋体" w:cs="Arial"/>
                <w:bCs/>
                <w:szCs w:val="21"/>
              </w:rPr>
              <w:t>1</w:t>
            </w:r>
            <w:r>
              <w:rPr>
                <w:rFonts w:hint="eastAsia" w:ascii="宋体" w:hAnsi="宋体" w:cs="Arial"/>
                <w:bCs/>
                <w:szCs w:val="21"/>
              </w:rPr>
              <w:t>：会务组统一安排食宿，住宿费用自理。</w:t>
            </w:r>
          </w:p>
          <w:p w14:paraId="4B5478EB">
            <w:pPr>
              <w:snapToGrid w:val="0"/>
              <w:spacing w:line="300" w:lineRule="exact"/>
              <w:rPr>
                <w:rFonts w:ascii="宋体" w:cs="Arial"/>
                <w:bCs/>
                <w:color w:val="FF0000"/>
                <w:szCs w:val="21"/>
                <w:u w:val="single"/>
              </w:rPr>
            </w:pPr>
            <w:r>
              <w:rPr>
                <w:rFonts w:hint="eastAsia" w:ascii="宋体" w:hAnsi="宋体" w:cs="Arial"/>
                <w:bCs/>
                <w:szCs w:val="21"/>
              </w:rPr>
              <w:t>注</w:t>
            </w:r>
            <w:r>
              <w:rPr>
                <w:rFonts w:ascii="宋体" w:hAnsi="宋体" w:cs="Arial"/>
                <w:bCs/>
                <w:szCs w:val="21"/>
              </w:rPr>
              <w:t>2</w:t>
            </w:r>
            <w:r>
              <w:rPr>
                <w:rFonts w:hint="eastAsia" w:ascii="宋体" w:hAnsi="宋体" w:cs="Arial"/>
                <w:bCs/>
                <w:szCs w:val="21"/>
              </w:rPr>
              <w:t>：我们将根据</w:t>
            </w:r>
            <w:r>
              <w:rPr>
                <w:rFonts w:hint="eastAsia" w:ascii="宋体" w:cs="Arial"/>
                <w:bCs/>
                <w:szCs w:val="21"/>
              </w:rPr>
              <w:t>“</w:t>
            </w:r>
            <w:r>
              <w:rPr>
                <w:rFonts w:hint="eastAsia" w:ascii="宋体" w:hAnsi="宋体" w:cs="Arial"/>
                <w:bCs/>
                <w:szCs w:val="21"/>
              </w:rPr>
              <w:t>报名表</w:t>
            </w:r>
            <w:r>
              <w:rPr>
                <w:rFonts w:hint="eastAsia" w:ascii="宋体" w:cs="Arial"/>
                <w:bCs/>
                <w:szCs w:val="21"/>
              </w:rPr>
              <w:t>”</w:t>
            </w:r>
            <w:r>
              <w:rPr>
                <w:rFonts w:hint="eastAsia" w:ascii="宋体" w:hAnsi="宋体" w:cs="Arial"/>
                <w:bCs/>
                <w:szCs w:val="21"/>
              </w:rPr>
              <w:t>、网上报名确认为您安排房间和准备资料。由于房源紧张，</w:t>
            </w:r>
            <w:r>
              <w:rPr>
                <w:rFonts w:hint="eastAsia" w:ascii="宋体" w:hAnsi="宋体" w:cs="Arial"/>
                <w:bCs/>
                <w:color w:val="FF0000"/>
                <w:szCs w:val="21"/>
                <w:u w:val="single"/>
                <w:lang w:val="en-US" w:eastAsia="zh-CN"/>
              </w:rPr>
              <w:t>8</w:t>
            </w:r>
            <w:r>
              <w:rPr>
                <w:rFonts w:hint="eastAsia" w:ascii="宋体" w:hAnsi="宋体" w:cs="Arial"/>
                <w:bCs/>
                <w:color w:val="FF0000"/>
                <w:szCs w:val="21"/>
                <w:u w:val="single"/>
              </w:rPr>
              <w:t>月</w:t>
            </w:r>
            <w:r>
              <w:rPr>
                <w:rFonts w:hint="eastAsia" w:ascii="宋体" w:hAnsi="宋体" w:cs="Arial"/>
                <w:bCs/>
                <w:color w:val="FF0000"/>
                <w:szCs w:val="21"/>
                <w:u w:val="single"/>
                <w:lang w:val="en-US" w:eastAsia="zh-CN"/>
              </w:rPr>
              <w:t>15</w:t>
            </w:r>
            <w:r>
              <w:rPr>
                <w:rFonts w:hint="eastAsia" w:ascii="宋体" w:hAnsi="宋体" w:cs="Arial"/>
                <w:bCs/>
                <w:color w:val="FF0000"/>
                <w:szCs w:val="21"/>
                <w:u w:val="single"/>
              </w:rPr>
              <w:t>日之前没有注明住宿要求的，会务组将不能保证安排住宿，由此带来不便敬请谅解。</w:t>
            </w:r>
          </w:p>
          <w:p w14:paraId="76C1229E">
            <w:pPr>
              <w:snapToGrid w:val="0"/>
              <w:spacing w:line="300" w:lineRule="exact"/>
              <w:rPr>
                <w:rFonts w:ascii="宋体" w:hAnsi="宋体" w:cs="Arial"/>
                <w:bCs/>
                <w:color w:val="FF0000"/>
                <w:szCs w:val="21"/>
                <w:u w:val="single"/>
              </w:rPr>
            </w:pPr>
            <w:r>
              <w:rPr>
                <w:rFonts w:hint="eastAsia" w:ascii="宋体" w:hAnsi="宋体" w:cs="Arial"/>
                <w:szCs w:val="21"/>
              </w:rPr>
              <w:t>注</w:t>
            </w:r>
            <w:r>
              <w:rPr>
                <w:rFonts w:ascii="宋体" w:hAnsi="宋体" w:cs="Arial"/>
                <w:szCs w:val="21"/>
              </w:rPr>
              <w:t>3</w:t>
            </w:r>
            <w:r>
              <w:rPr>
                <w:rFonts w:hint="eastAsia" w:ascii="宋体" w:hAnsi="宋体" w:cs="Arial"/>
                <w:szCs w:val="21"/>
              </w:rPr>
              <w:t>：</w:t>
            </w:r>
            <w:r>
              <w:rPr>
                <w:rFonts w:hint="eastAsia" w:ascii="宋体" w:hAnsi="宋体" w:cs="Arial"/>
                <w:bCs/>
                <w:szCs w:val="21"/>
              </w:rPr>
              <w:t>参会代表将收到会议各项最新信息，正式日程安排将于</w:t>
            </w:r>
            <w:r>
              <w:rPr>
                <w:rFonts w:ascii="宋体" w:hAnsi="宋体" w:cs="Arial"/>
                <w:bCs/>
                <w:szCs w:val="21"/>
              </w:rPr>
              <w:t xml:space="preserve"> 20</w:t>
            </w:r>
            <w:r>
              <w:rPr>
                <w:rFonts w:hint="eastAsia" w:ascii="宋体" w:hAnsi="宋体" w:cs="Arial"/>
                <w:bCs/>
                <w:szCs w:val="21"/>
              </w:rPr>
              <w:t>2</w:t>
            </w:r>
            <w:r>
              <w:rPr>
                <w:rFonts w:hint="eastAsia" w:ascii="宋体" w:hAnsi="宋体" w:cs="Arial"/>
                <w:bCs/>
                <w:szCs w:val="21"/>
                <w:lang w:val="en-US" w:eastAsia="zh-CN"/>
              </w:rPr>
              <w:t>6</w:t>
            </w:r>
            <w:r>
              <w:rPr>
                <w:rFonts w:hint="eastAsia" w:ascii="宋体" w:hAnsi="宋体" w:cs="Arial"/>
                <w:bCs/>
                <w:szCs w:val="21"/>
              </w:rPr>
              <w:t>年</w:t>
            </w:r>
            <w:r>
              <w:rPr>
                <w:rFonts w:hint="eastAsia" w:ascii="宋体" w:hAnsi="宋体" w:cs="Arial"/>
                <w:bCs/>
                <w:szCs w:val="21"/>
                <w:lang w:val="en-US" w:eastAsia="zh-CN"/>
              </w:rPr>
              <w:t>8</w:t>
            </w:r>
            <w:r>
              <w:rPr>
                <w:rFonts w:hint="eastAsia" w:ascii="宋体" w:hAnsi="宋体" w:cs="Arial"/>
                <w:bCs/>
                <w:szCs w:val="21"/>
              </w:rPr>
              <w:t>月</w:t>
            </w:r>
            <w:r>
              <w:rPr>
                <w:rFonts w:hint="eastAsia" w:ascii="宋体" w:hAnsi="宋体" w:cs="Arial"/>
                <w:bCs/>
                <w:szCs w:val="21"/>
                <w:lang w:val="en-US" w:eastAsia="zh-CN"/>
              </w:rPr>
              <w:t>18</w:t>
            </w:r>
            <w:r>
              <w:rPr>
                <w:rFonts w:hint="eastAsia" w:ascii="宋体" w:hAnsi="宋体" w:cs="Arial"/>
                <w:bCs/>
                <w:szCs w:val="21"/>
              </w:rPr>
              <w:t>日前发出。</w:t>
            </w:r>
          </w:p>
          <w:p w14:paraId="30C04250">
            <w:pPr>
              <w:snapToGrid w:val="0"/>
              <w:spacing w:line="300" w:lineRule="exact"/>
              <w:rPr>
                <w:rFonts w:ascii="宋体" w:cs="Arial"/>
                <w:bCs/>
                <w:szCs w:val="21"/>
              </w:rPr>
            </w:pPr>
            <w:r>
              <w:rPr>
                <w:rFonts w:hint="eastAsia" w:ascii="宋体" w:hAnsi="宋体" w:cs="Arial"/>
                <w:szCs w:val="21"/>
              </w:rPr>
              <w:t>注</w:t>
            </w:r>
            <w:r>
              <w:rPr>
                <w:rFonts w:ascii="宋体" w:hAnsi="宋体" w:cs="Arial"/>
                <w:szCs w:val="21"/>
              </w:rPr>
              <w:t>4</w:t>
            </w:r>
            <w:r>
              <w:rPr>
                <w:rFonts w:hint="eastAsia" w:ascii="宋体" w:hAnsi="宋体" w:cs="Arial"/>
                <w:szCs w:val="21"/>
              </w:rPr>
              <w:t>：</w:t>
            </w:r>
            <w:r>
              <w:rPr>
                <w:rFonts w:hint="eastAsia" w:ascii="宋体" w:hAnsi="宋体" w:cs="Arial"/>
                <w:bCs/>
                <w:szCs w:val="21"/>
              </w:rPr>
              <w:t>已交费但因故无法参会者，请以书面形式提前通知会务组，以会议开始日期为准，提前三周通知会务组全额退费，提前两周通知会议组半额退费，其余情况不予退费。以上退费均扣除</w:t>
            </w:r>
            <w:r>
              <w:rPr>
                <w:rFonts w:ascii="宋体" w:hAnsi="宋体" w:cs="Arial"/>
                <w:bCs/>
                <w:szCs w:val="21"/>
              </w:rPr>
              <w:t>10%</w:t>
            </w:r>
            <w:r>
              <w:rPr>
                <w:rFonts w:hint="eastAsia" w:ascii="宋体" w:hAnsi="宋体" w:cs="Arial"/>
                <w:bCs/>
                <w:szCs w:val="21"/>
              </w:rPr>
              <w:t>手续费。</w:t>
            </w:r>
          </w:p>
          <w:p w14:paraId="49B6C194">
            <w:pPr>
              <w:snapToGrid w:val="0"/>
              <w:spacing w:line="300" w:lineRule="exact"/>
              <w:rPr>
                <w:rFonts w:ascii="宋体" w:hAnsi="宋体" w:cs="Arial"/>
                <w:szCs w:val="21"/>
              </w:rPr>
            </w:pPr>
            <w:r>
              <w:rPr>
                <w:rFonts w:hint="eastAsia" w:ascii="宋体" w:hAnsi="宋体" w:cs="Arial"/>
                <w:szCs w:val="21"/>
              </w:rPr>
              <w:t>注5：此报名表复印有效。</w:t>
            </w:r>
          </w:p>
        </w:tc>
      </w:tr>
      <w:tr w14:paraId="28DF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10426" w:type="dxa"/>
            <w:gridSpan w:val="7"/>
            <w:vAlign w:val="center"/>
          </w:tcPr>
          <w:p w14:paraId="55BAD512">
            <w:pPr>
              <w:snapToGrid w:val="0"/>
              <w:spacing w:line="300" w:lineRule="exact"/>
              <w:jc w:val="center"/>
              <w:rPr>
                <w:rFonts w:hint="eastAsia" w:ascii="微软雅黑" w:hAnsi="微软雅黑" w:eastAsia="微软雅黑" w:cs="微软雅黑"/>
                <w:b/>
                <w:color w:val="C00000"/>
                <w:sz w:val="24"/>
                <w:shd w:val="clear" w:color="auto" w:fill="FFFFFF"/>
                <w:lang w:eastAsia="zh-CN"/>
              </w:rPr>
            </w:pPr>
            <w:r>
              <w:rPr>
                <w:rFonts w:hint="eastAsia" w:ascii="微软雅黑" w:hAnsi="微软雅黑" w:eastAsia="微软雅黑" w:cs="微软雅黑"/>
                <w:b/>
                <w:color w:val="C00000"/>
                <w:sz w:val="24"/>
                <w:shd w:val="clear" w:color="auto" w:fill="FFFFFF"/>
                <w:lang w:eastAsia="zh-CN"/>
              </w:rPr>
              <w:t>会务</w:t>
            </w:r>
            <w:r>
              <w:rPr>
                <w:rFonts w:hint="eastAsia" w:ascii="微软雅黑" w:hAnsi="微软雅黑" w:eastAsia="微软雅黑" w:cs="微软雅黑"/>
                <w:b/>
                <w:color w:val="C00000"/>
                <w:sz w:val="24"/>
                <w:shd w:val="clear" w:color="auto" w:fill="FFFFFF"/>
                <w:lang w:val="en-US" w:eastAsia="zh-CN"/>
              </w:rPr>
              <w:t>组</w:t>
            </w:r>
            <w:r>
              <w:rPr>
                <w:rFonts w:hint="eastAsia" w:ascii="微软雅黑" w:hAnsi="微软雅黑" w:eastAsia="微软雅黑" w:cs="微软雅黑"/>
                <w:b/>
                <w:color w:val="C00000"/>
                <w:sz w:val="24"/>
                <w:shd w:val="clear" w:color="auto" w:fill="FFFFFF"/>
                <w:lang w:eastAsia="zh-CN"/>
              </w:rPr>
              <w:t>：</w:t>
            </w:r>
            <w:r>
              <w:rPr>
                <w:rFonts w:hint="eastAsia" w:ascii="微软雅黑" w:hAnsi="微软雅黑" w:eastAsia="微软雅黑" w:cs="微软雅黑"/>
                <w:b/>
                <w:color w:val="C00000"/>
                <w:sz w:val="24"/>
                <w:shd w:val="clear" w:color="auto" w:fill="FFFFFF"/>
                <w:lang w:val="en-US" w:eastAsia="zh-CN"/>
              </w:rPr>
              <w:t>苗润梦 188 0009 3110</w:t>
            </w:r>
          </w:p>
        </w:tc>
      </w:tr>
    </w:tbl>
    <w:p w14:paraId="547F766A">
      <w:pPr>
        <w:pStyle w:val="11"/>
        <w:widowControl/>
        <w:shd w:val="clear" w:color="auto" w:fill="FFFFFF"/>
        <w:jc w:val="center"/>
        <w:rPr>
          <w:rStyle w:val="16"/>
          <w:rFonts w:ascii="等线" w:hAnsi="等线" w:eastAsia="等线" w:cs="等线"/>
          <w:color w:val="000000"/>
          <w:spacing w:val="8"/>
          <w:sz w:val="22"/>
          <w:szCs w:val="22"/>
          <w:shd w:val="clear" w:color="auto" w:fill="FFFFFF"/>
        </w:rPr>
      </w:pPr>
    </w:p>
    <w:p w14:paraId="4AF28FC9">
      <w:pPr>
        <w:rPr>
          <w:rStyle w:val="16"/>
          <w:rFonts w:ascii="等线" w:hAnsi="等线" w:eastAsia="等线" w:cs="等线"/>
          <w:color w:val="000000"/>
          <w:spacing w:val="8"/>
          <w:sz w:val="22"/>
          <w:szCs w:val="22"/>
          <w:shd w:val="clear" w:color="auto" w:fill="FFFFFF"/>
        </w:rPr>
      </w:pPr>
      <w:r>
        <w:rPr>
          <w:rStyle w:val="16"/>
          <w:rFonts w:ascii="等线" w:hAnsi="等线" w:eastAsia="等线" w:cs="等线"/>
          <w:color w:val="000000"/>
          <w:spacing w:val="8"/>
          <w:sz w:val="22"/>
          <w:szCs w:val="22"/>
          <w:shd w:val="clear" w:color="auto" w:fill="FFFFFF"/>
        </w:rPr>
        <w:br w:type="page"/>
      </w:r>
    </w:p>
    <w:p w14:paraId="5862CF82">
      <w:pPr>
        <w:pStyle w:val="11"/>
        <w:widowControl/>
        <w:shd w:val="clear" w:color="auto" w:fill="FFFFFF"/>
        <w:jc w:val="center"/>
        <w:rPr>
          <w:rFonts w:ascii="微软雅黑" w:hAnsi="微软雅黑" w:eastAsia="微软雅黑" w:cs="微软雅黑"/>
          <w:color w:val="333333"/>
          <w:spacing w:val="8"/>
          <w:sz w:val="20"/>
          <w:szCs w:val="20"/>
        </w:rPr>
      </w:pPr>
      <w:r>
        <w:rPr>
          <w:rStyle w:val="16"/>
          <w:rFonts w:ascii="等线" w:hAnsi="等线" w:eastAsia="等线" w:cs="等线"/>
          <w:color w:val="000000"/>
          <w:spacing w:val="8"/>
          <w:sz w:val="22"/>
          <w:szCs w:val="22"/>
          <w:shd w:val="clear" w:color="auto" w:fill="FFFFFF"/>
        </w:rPr>
        <w:t>附件：</w:t>
      </w:r>
      <w:r>
        <w:rPr>
          <w:rStyle w:val="16"/>
          <w:rFonts w:hint="eastAsia" w:ascii="宋体" w:hAnsi="宋体" w:cs="宋体"/>
          <w:color w:val="333333"/>
          <w:spacing w:val="8"/>
          <w:sz w:val="22"/>
          <w:szCs w:val="22"/>
          <w:shd w:val="clear" w:color="auto" w:fill="FFFFFF"/>
        </w:rPr>
        <w:t>开发票登记表（开票信息和付款信息须一致）</w:t>
      </w:r>
    </w:p>
    <w:tbl>
      <w:tblPr>
        <w:tblStyle w:val="13"/>
        <w:tblW w:w="10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8013"/>
      </w:tblGrid>
      <w:tr w14:paraId="7A5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2455" w:type="dxa"/>
            <w:vAlign w:val="center"/>
          </w:tcPr>
          <w:p w14:paraId="72BFBC6D">
            <w:r>
              <w:rPr>
                <w:rFonts w:hint="eastAsia"/>
              </w:rPr>
              <w:t>发票类型</w:t>
            </w:r>
          </w:p>
        </w:tc>
        <w:tc>
          <w:tcPr>
            <w:tcW w:w="8013" w:type="dxa"/>
            <w:vAlign w:val="center"/>
          </w:tcPr>
          <w:p w14:paraId="26C46E77">
            <w:pPr>
              <w:rPr>
                <w:rFonts w:hint="eastAsia" w:eastAsia="宋体"/>
                <w:lang w:eastAsia="zh-CN"/>
              </w:rPr>
            </w:pPr>
            <w:r>
              <w:rPr>
                <w:rFonts w:hint="eastAsia"/>
              </w:rPr>
              <w:t xml:space="preserve">普票   </w:t>
            </w:r>
            <w:r>
              <w:rPr>
                <w:rFonts w:hint="eastAsia"/>
                <w:lang w:eastAsia="zh-CN"/>
              </w:rPr>
              <w:t>□</w:t>
            </w:r>
            <w:r>
              <w:rPr>
                <w:rFonts w:hint="eastAsia"/>
              </w:rPr>
              <w:t xml:space="preserve">                       增值税专用发票  </w:t>
            </w:r>
            <w:r>
              <w:rPr>
                <w:rFonts w:hint="eastAsia"/>
                <w:lang w:eastAsia="zh-CN"/>
              </w:rPr>
              <w:t>□</w:t>
            </w:r>
          </w:p>
        </w:tc>
      </w:tr>
      <w:tr w14:paraId="50AE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396B64BC">
            <w:r>
              <w:t>单位名称</w:t>
            </w:r>
          </w:p>
        </w:tc>
        <w:tc>
          <w:tcPr>
            <w:tcW w:w="8013" w:type="dxa"/>
            <w:vAlign w:val="center"/>
          </w:tcPr>
          <w:p w14:paraId="635150D4">
            <w:pPr>
              <w:rPr>
                <w:rFonts w:hint="default" w:eastAsia="宋体"/>
                <w:lang w:val="en-US" w:eastAsia="zh-CN"/>
              </w:rPr>
            </w:pPr>
          </w:p>
        </w:tc>
      </w:tr>
      <w:tr w14:paraId="2672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359B7081">
            <w:r>
              <w:rPr>
                <w:rFonts w:hint="eastAsia"/>
              </w:rPr>
              <w:t>纳税人识别号</w:t>
            </w:r>
          </w:p>
        </w:tc>
        <w:tc>
          <w:tcPr>
            <w:tcW w:w="8013" w:type="dxa"/>
            <w:vAlign w:val="center"/>
          </w:tcPr>
          <w:p w14:paraId="3472AB93">
            <w:pPr>
              <w:rPr>
                <w:rFonts w:hint="default" w:eastAsia="宋体"/>
                <w:lang w:val="en-US" w:eastAsia="zh-CN"/>
              </w:rPr>
            </w:pPr>
          </w:p>
        </w:tc>
      </w:tr>
      <w:tr w14:paraId="39E1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79C1038D">
            <w:r>
              <w:t>地址</w:t>
            </w:r>
          </w:p>
        </w:tc>
        <w:tc>
          <w:tcPr>
            <w:tcW w:w="8013" w:type="dxa"/>
            <w:vAlign w:val="center"/>
          </w:tcPr>
          <w:p w14:paraId="4FD89904"/>
        </w:tc>
      </w:tr>
      <w:tr w14:paraId="1010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76D5D62B">
            <w:r>
              <w:t>电话</w:t>
            </w:r>
          </w:p>
        </w:tc>
        <w:tc>
          <w:tcPr>
            <w:tcW w:w="8013" w:type="dxa"/>
            <w:vAlign w:val="center"/>
          </w:tcPr>
          <w:p w14:paraId="15BEC740">
            <w:pPr>
              <w:rPr>
                <w:rFonts w:hint="default" w:eastAsia="宋体"/>
                <w:lang w:val="en-US" w:eastAsia="zh-CN"/>
              </w:rPr>
            </w:pPr>
          </w:p>
        </w:tc>
      </w:tr>
      <w:tr w14:paraId="0E26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2455" w:type="dxa"/>
            <w:vAlign w:val="center"/>
          </w:tcPr>
          <w:p w14:paraId="1BA3D4C4">
            <w:r>
              <w:t>开户行</w:t>
            </w:r>
          </w:p>
        </w:tc>
        <w:tc>
          <w:tcPr>
            <w:tcW w:w="8013" w:type="dxa"/>
            <w:vAlign w:val="center"/>
          </w:tcPr>
          <w:p w14:paraId="6752101F">
            <w:pPr>
              <w:rPr>
                <w:rFonts w:hint="default" w:eastAsia="宋体"/>
                <w:lang w:val="en-US" w:eastAsia="zh-CN"/>
              </w:rPr>
            </w:pPr>
          </w:p>
        </w:tc>
      </w:tr>
      <w:tr w14:paraId="7807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494AB280">
            <w:r>
              <w:t>账号</w:t>
            </w:r>
          </w:p>
        </w:tc>
        <w:tc>
          <w:tcPr>
            <w:tcW w:w="8013" w:type="dxa"/>
            <w:vAlign w:val="center"/>
          </w:tcPr>
          <w:p w14:paraId="00C45D4A">
            <w:pPr>
              <w:rPr>
                <w:rFonts w:hint="default" w:eastAsia="宋体"/>
                <w:lang w:val="en-US" w:eastAsia="zh-CN"/>
              </w:rPr>
            </w:pPr>
          </w:p>
        </w:tc>
      </w:tr>
      <w:tr w14:paraId="41B6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455" w:type="dxa"/>
            <w:vAlign w:val="center"/>
          </w:tcPr>
          <w:p w14:paraId="2DA57C73">
            <w:r>
              <w:rPr>
                <w:rFonts w:hint="eastAsia"/>
              </w:rPr>
              <w:t>邮寄发票地址及收件人</w:t>
            </w:r>
          </w:p>
        </w:tc>
        <w:tc>
          <w:tcPr>
            <w:tcW w:w="8013" w:type="dxa"/>
            <w:vAlign w:val="center"/>
          </w:tcPr>
          <w:p w14:paraId="4D819FBF">
            <w:pPr>
              <w:rPr>
                <w:rFonts w:hint="default" w:eastAsia="宋体"/>
                <w:lang w:val="en-US" w:eastAsia="zh-CN"/>
              </w:rPr>
            </w:pPr>
          </w:p>
        </w:tc>
      </w:tr>
    </w:tbl>
    <w:p w14:paraId="58F418C9">
      <w:pPr>
        <w:pStyle w:val="11"/>
        <w:widowControl/>
        <w:shd w:val="clear" w:color="auto" w:fill="FFFFFF"/>
        <w:rPr>
          <w:rFonts w:ascii="宋体" w:hAnsi="宋体" w:cs="宋体"/>
          <w:color w:val="000000"/>
          <w:spacing w:val="8"/>
          <w:sz w:val="22"/>
          <w:szCs w:val="22"/>
          <w:shd w:val="clear" w:color="auto" w:fill="FFFFFF"/>
        </w:rPr>
      </w:pPr>
    </w:p>
    <w:p w14:paraId="7FA49C10">
      <w:pPr>
        <w:keepNext w:val="0"/>
        <w:keepLines w:val="0"/>
        <w:widowControl/>
        <w:suppressLineNumbers w:val="0"/>
        <w:jc w:val="left"/>
        <w:rPr>
          <w:highlight w:val="none"/>
        </w:rPr>
      </w:pPr>
      <w:r>
        <w:rPr>
          <w:rFonts w:hint="eastAsia" w:ascii="宋体" w:hAnsi="宋体" w:cs="宋体"/>
          <w:color w:val="000000"/>
          <w:spacing w:val="8"/>
          <w:sz w:val="22"/>
          <w:szCs w:val="22"/>
          <w:shd w:val="clear" w:color="auto" w:fill="FFFFFF"/>
        </w:rPr>
        <w:t>注：增值税专用发票需提供以上全部</w:t>
      </w:r>
      <w:r>
        <w:rPr>
          <w:rFonts w:hint="eastAsia" w:ascii="宋体" w:hAnsi="宋体" w:cs="宋体"/>
          <w:color w:val="333333"/>
          <w:spacing w:val="8"/>
          <w:sz w:val="22"/>
          <w:szCs w:val="22"/>
          <w:shd w:val="clear" w:color="auto" w:fill="FFFFFF"/>
        </w:rPr>
        <w:t>5项，普通发票只需提供1、2项。</w:t>
      </w:r>
      <w:r>
        <w:rPr>
          <w:rFonts w:hint="eastAsia" w:ascii="宋体" w:hAnsi="宋体" w:cs="宋体"/>
          <w:color w:val="333333"/>
          <w:spacing w:val="8"/>
          <w:sz w:val="22"/>
          <w:szCs w:val="22"/>
          <w:highlight w:val="none"/>
          <w:shd w:val="clear" w:color="auto" w:fill="FFFFFF"/>
        </w:rPr>
        <w:t>专票项目：会议服务、咨询服务；普票项目：</w:t>
      </w:r>
      <w:r>
        <w:rPr>
          <w:rFonts w:hint="eastAsia" w:ascii="宋体" w:hAnsi="宋体" w:cs="宋体"/>
          <w:color w:val="333333"/>
          <w:spacing w:val="8"/>
          <w:sz w:val="22"/>
          <w:szCs w:val="22"/>
          <w:highlight w:val="none"/>
          <w:shd w:val="clear" w:color="auto" w:fill="FFFFFF"/>
          <w:lang w:val="en-US" w:eastAsia="zh-CN"/>
        </w:rPr>
        <w:t>会议服务、咨询服务</w:t>
      </w:r>
      <w:r>
        <w:rPr>
          <w:rFonts w:hint="eastAsia" w:ascii="宋体" w:hAnsi="宋体" w:cs="宋体"/>
          <w:color w:val="333333"/>
          <w:spacing w:val="8"/>
          <w:sz w:val="22"/>
          <w:szCs w:val="22"/>
          <w:highlight w:val="none"/>
          <w:shd w:val="clear" w:color="auto" w:fill="FFFFFF"/>
        </w:rPr>
        <w:t>。</w:t>
      </w:r>
      <w:r>
        <w:rPr>
          <w:rFonts w:hint="eastAsia" w:ascii="宋体" w:hAnsi="宋体" w:cs="宋体"/>
          <w:color w:val="333333"/>
          <w:spacing w:val="8"/>
          <w:sz w:val="22"/>
          <w:szCs w:val="22"/>
          <w:highlight w:val="none"/>
          <w:shd w:val="clear" w:color="auto" w:fill="FFFFFF"/>
          <w:lang w:val="en-US" w:eastAsia="zh-CN"/>
        </w:rPr>
        <w:t xml:space="preserve">  </w:t>
      </w:r>
    </w:p>
    <w:p w14:paraId="5C676621">
      <w:pPr>
        <w:pStyle w:val="11"/>
        <w:widowControl/>
        <w:shd w:val="clear" w:color="auto" w:fill="FFFFFF"/>
        <w:rPr>
          <w:rFonts w:hint="default" w:ascii="微软雅黑" w:hAnsi="微软雅黑" w:eastAsia="宋体" w:cs="微软雅黑"/>
          <w:color w:val="333333"/>
          <w:spacing w:val="8"/>
          <w:sz w:val="20"/>
          <w:szCs w:val="20"/>
          <w:highlight w:val="yellow"/>
          <w:lang w:val="en-US" w:eastAsia="zh-CN"/>
        </w:rPr>
      </w:pPr>
    </w:p>
    <w:p w14:paraId="301854E8">
      <w:pPr>
        <w:spacing w:line="240" w:lineRule="exact"/>
        <w:jc w:val="right"/>
        <w:rPr>
          <w:rFonts w:ascii="黑体" w:eastAsia="黑体" w:cs="Arial"/>
          <w:sz w:val="24"/>
        </w:rPr>
      </w:pPr>
    </w:p>
    <w:p w14:paraId="26A97D98">
      <w:pPr>
        <w:spacing w:line="240" w:lineRule="exact"/>
        <w:jc w:val="right"/>
        <w:rPr>
          <w:rFonts w:ascii="黑体" w:eastAsia="黑体" w:cs="Arial"/>
          <w:sz w:val="24"/>
        </w:rPr>
      </w:pPr>
    </w:p>
    <w:p w14:paraId="5D9ED135">
      <w:pPr>
        <w:spacing w:line="240" w:lineRule="exact"/>
        <w:jc w:val="right"/>
        <w:rPr>
          <w:rFonts w:ascii="黑体" w:eastAsia="黑体" w:cs="Arial"/>
          <w:sz w:val="24"/>
        </w:rPr>
      </w:pPr>
    </w:p>
    <w:p w14:paraId="31358727">
      <w:pPr>
        <w:spacing w:line="240" w:lineRule="exact"/>
        <w:jc w:val="right"/>
        <w:rPr>
          <w:rFonts w:ascii="黑体" w:eastAsia="黑体" w:cs="Arial"/>
          <w:sz w:val="24"/>
        </w:rPr>
      </w:pPr>
    </w:p>
    <w:p w14:paraId="04AB8831">
      <w:pPr>
        <w:spacing w:line="240" w:lineRule="exact"/>
        <w:jc w:val="right"/>
        <w:rPr>
          <w:rFonts w:ascii="黑体" w:eastAsia="黑体" w:cs="Arial"/>
          <w:sz w:val="24"/>
        </w:rPr>
      </w:pPr>
    </w:p>
    <w:p w14:paraId="465B2D9E">
      <w:pPr>
        <w:spacing w:line="240" w:lineRule="exact"/>
        <w:jc w:val="right"/>
        <w:rPr>
          <w:rFonts w:ascii="黑体" w:eastAsia="黑体" w:cs="Arial"/>
          <w:sz w:val="24"/>
        </w:rPr>
      </w:pPr>
    </w:p>
    <w:p w14:paraId="495F139E">
      <w:pPr>
        <w:spacing w:line="240" w:lineRule="exact"/>
        <w:jc w:val="right"/>
        <w:rPr>
          <w:rFonts w:ascii="黑体" w:eastAsia="黑体" w:cs="Arial"/>
          <w:sz w:val="24"/>
        </w:rPr>
      </w:pPr>
    </w:p>
    <w:p w14:paraId="40BC9D5C">
      <w:pPr>
        <w:spacing w:line="240" w:lineRule="exact"/>
        <w:jc w:val="right"/>
        <w:rPr>
          <w:rFonts w:ascii="黑体" w:eastAsia="黑体" w:cs="Arial"/>
          <w:sz w:val="24"/>
        </w:rPr>
      </w:pPr>
    </w:p>
    <w:p w14:paraId="36910996">
      <w:pPr>
        <w:spacing w:line="240" w:lineRule="exact"/>
        <w:jc w:val="right"/>
        <w:rPr>
          <w:rFonts w:ascii="黑体" w:eastAsia="黑体" w:cs="Arial"/>
          <w:sz w:val="24"/>
        </w:rPr>
      </w:pPr>
    </w:p>
    <w:p w14:paraId="2F849A27">
      <w:pPr>
        <w:spacing w:line="240" w:lineRule="exact"/>
        <w:jc w:val="right"/>
        <w:rPr>
          <w:rFonts w:ascii="黑体" w:eastAsia="黑体" w:cs="Arial"/>
          <w:sz w:val="24"/>
        </w:rPr>
      </w:pPr>
      <w:r>
        <w:rPr>
          <w:rFonts w:hint="eastAsia" w:ascii="黑体" w:eastAsia="黑体" w:cs="Arial"/>
          <w:sz w:val="24"/>
        </w:rPr>
        <w:t>北京阿拉丁中营商务咨询有</w:t>
      </w:r>
      <w:r>
        <w:drawing>
          <wp:anchor distT="0" distB="0" distL="114300" distR="114300" simplePos="0" relativeHeight="251659264" behindDoc="0" locked="0" layoutInCell="1" allowOverlap="1">
            <wp:simplePos x="0" y="0"/>
            <wp:positionH relativeFrom="column">
              <wp:posOffset>5624830</wp:posOffset>
            </wp:positionH>
            <wp:positionV relativeFrom="paragraph">
              <wp:posOffset>8863965</wp:posOffset>
            </wp:positionV>
            <wp:extent cx="1447800" cy="1447800"/>
            <wp:effectExtent l="0" t="0" r="0" b="0"/>
            <wp:wrapNone/>
            <wp:docPr id="4" name="图片 4" descr="说明: 竞争力中心+2-2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竞争力中心+2-201408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anchor>
        </w:drawing>
      </w:r>
      <w:r>
        <w:rPr>
          <w:rFonts w:hint="eastAsia" w:ascii="黑体" w:eastAsia="黑体" w:cs="Arial"/>
          <w:sz w:val="24"/>
        </w:rPr>
        <w:t>限公司</w:t>
      </w:r>
    </w:p>
    <w:p w14:paraId="253EC4AB">
      <w:pPr>
        <w:jc w:val="right"/>
        <w:rPr>
          <w:rFonts w:hint="eastAsia" w:ascii="黑体" w:eastAsia="黑体" w:cs="Arial"/>
          <w:sz w:val="24"/>
          <w:lang w:eastAsia="zh-CN"/>
        </w:rPr>
      </w:pPr>
    </w:p>
    <w:p w14:paraId="7B109D53">
      <w:pPr>
        <w:jc w:val="right"/>
        <w:rPr>
          <w:rFonts w:hint="default" w:eastAsia="黑体"/>
          <w:szCs w:val="21"/>
          <w:lang w:val="en-US" w:eastAsia="zh-CN"/>
        </w:rPr>
      </w:pPr>
      <w:r>
        <w:rPr>
          <w:rFonts w:ascii="黑体" w:hAnsi="宋体" w:eastAsia="黑体" w:cs="Arial"/>
          <w:color w:val="000000"/>
          <w:szCs w:val="21"/>
        </w:rPr>
        <w:t>20</w:t>
      </w:r>
      <w:r>
        <w:rPr>
          <w:rFonts w:hint="eastAsia" w:ascii="黑体" w:hAnsi="宋体" w:eastAsia="黑体" w:cs="Arial"/>
          <w:color w:val="000000"/>
          <w:szCs w:val="21"/>
        </w:rPr>
        <w:t>2</w:t>
      </w:r>
      <w:r>
        <w:rPr>
          <w:rFonts w:hint="eastAsia" w:ascii="黑体" w:hAnsi="宋体" w:eastAsia="黑体" w:cs="Arial"/>
          <w:color w:val="000000"/>
          <w:szCs w:val="21"/>
          <w:lang w:val="en-US" w:eastAsia="zh-CN"/>
        </w:rPr>
        <w:t>6</w:t>
      </w:r>
      <w:r>
        <w:rPr>
          <w:rFonts w:hint="eastAsia" w:ascii="黑体" w:hAnsi="宋体" w:eastAsia="黑体" w:cs="Arial"/>
          <w:color w:val="000000"/>
          <w:szCs w:val="21"/>
        </w:rPr>
        <w:t>年</w:t>
      </w:r>
      <w:r>
        <w:rPr>
          <w:rFonts w:hint="default" w:ascii="黑体" w:hAnsi="黑体" w:eastAsia="黑体"/>
          <w:szCs w:val="21"/>
          <w:lang w:val="en-US"/>
        </w:rPr>
        <w:drawing>
          <wp:anchor distT="0" distB="0" distL="114300" distR="114300" simplePos="0" relativeHeight="251660288" behindDoc="0" locked="0" layoutInCell="1" allowOverlap="1">
            <wp:simplePos x="0" y="0"/>
            <wp:positionH relativeFrom="column">
              <wp:posOffset>5624830</wp:posOffset>
            </wp:positionH>
            <wp:positionV relativeFrom="paragraph">
              <wp:posOffset>8863965</wp:posOffset>
            </wp:positionV>
            <wp:extent cx="1447800" cy="1447800"/>
            <wp:effectExtent l="0" t="0" r="0" b="0"/>
            <wp:wrapNone/>
            <wp:docPr id="3" name="图片 3" descr="说明: 竞争力中心+2-2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竞争力中心+2-201408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anchor>
        </w:drawing>
      </w:r>
      <w:r>
        <w:rPr>
          <w:rFonts w:hint="default" w:ascii="黑体" w:hAnsi="黑体" w:eastAsia="黑体"/>
          <w:szCs w:val="21"/>
          <w:lang w:val="en-US"/>
        </w:rPr>
        <w:drawing>
          <wp:anchor distT="0" distB="0" distL="114300" distR="114300" simplePos="0" relativeHeight="251661312" behindDoc="0" locked="0" layoutInCell="1" allowOverlap="1">
            <wp:simplePos x="0" y="0"/>
            <wp:positionH relativeFrom="column">
              <wp:posOffset>5624830</wp:posOffset>
            </wp:positionH>
            <wp:positionV relativeFrom="paragraph">
              <wp:posOffset>8863965</wp:posOffset>
            </wp:positionV>
            <wp:extent cx="1447800" cy="1447800"/>
            <wp:effectExtent l="0" t="0" r="0" b="0"/>
            <wp:wrapNone/>
            <wp:docPr id="2" name="图片 2" descr="说明: 竞争力中心+2-2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竞争力中心+2-201408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anchor>
        </w:drawing>
      </w:r>
      <w:r>
        <w:rPr>
          <w:rFonts w:hint="eastAsia" w:ascii="黑体" w:hAnsi="黑体" w:eastAsia="黑体"/>
          <w:szCs w:val="21"/>
          <w:lang w:val="en-US" w:eastAsia="zh-CN"/>
        </w:rPr>
        <w:t>6</w:t>
      </w:r>
      <w:r>
        <w:rPr>
          <w:rFonts w:hint="eastAsia" w:ascii="黑体" w:hAnsi="宋体" w:eastAsia="黑体" w:cs="Arial"/>
          <w:color w:val="000000"/>
          <w:szCs w:val="21"/>
        </w:rPr>
        <w:t>月</w:t>
      </w:r>
      <w:r>
        <w:rPr>
          <w:rFonts w:hint="eastAsia" w:ascii="黑体" w:hAnsi="宋体" w:eastAsia="黑体" w:cs="Arial"/>
          <w:color w:val="000000"/>
          <w:szCs w:val="21"/>
          <w:lang w:val="en-US" w:eastAsia="zh-CN"/>
        </w:rPr>
        <w:t>16日</w:t>
      </w:r>
    </w:p>
    <w:p w14:paraId="04E9A381">
      <w:pPr>
        <w:spacing w:before="156" w:beforeLines="50" w:line="360" w:lineRule="exact"/>
        <w:rPr>
          <w:rFonts w:hint="eastAsia" w:ascii="方正兰亭准黑_GBK" w:eastAsia="方正兰亭准黑_GBK"/>
          <w:sz w:val="24"/>
          <w:lang w:eastAsia="zh-CN"/>
        </w:rPr>
      </w:pPr>
    </w:p>
    <w:p w14:paraId="29A36A2A"/>
    <w:p w14:paraId="7E92AF05">
      <w:pPr>
        <w:bidi w:val="0"/>
        <w:rPr>
          <w:rStyle w:val="16"/>
          <w:rFonts w:hint="eastAsia" w:ascii="微软雅黑" w:hAnsi="微软雅黑" w:eastAsia="微软雅黑" w:cs="微软雅黑"/>
          <w:i w:val="0"/>
          <w:iCs w:val="0"/>
          <w:caps w:val="0"/>
          <w:spacing w:val="9"/>
          <w:sz w:val="25"/>
          <w:szCs w:val="25"/>
          <w:lang w:eastAsia="zh-CN"/>
        </w:rPr>
      </w:pPr>
    </w:p>
    <w:sectPr>
      <w:pgSz w:w="11906" w:h="16838"/>
      <w:pgMar w:top="720" w:right="720" w:bottom="720" w:left="72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方正兰亭准黑_GBK">
    <w:altName w:val="黑体"/>
    <w:panose1 w:val="00000000000000000000"/>
    <w:charset w:val="86"/>
    <w:family w:val="auto"/>
    <w:pitch w:val="default"/>
    <w:sig w:usb0="00000000" w:usb1="00000000" w:usb2="00082016"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5ZGFlNzJiMGVkMTVlYjIyMjJhOTNmOGUzMGMwMDEifQ=="/>
  </w:docVars>
  <w:rsids>
    <w:rsidRoot w:val="00172A27"/>
    <w:rsid w:val="00000562"/>
    <w:rsid w:val="000058DD"/>
    <w:rsid w:val="0000609C"/>
    <w:rsid w:val="000078DC"/>
    <w:rsid w:val="00007F51"/>
    <w:rsid w:val="00011377"/>
    <w:rsid w:val="000128D3"/>
    <w:rsid w:val="00013E21"/>
    <w:rsid w:val="00014FC3"/>
    <w:rsid w:val="00016C8E"/>
    <w:rsid w:val="00016D4F"/>
    <w:rsid w:val="0001718A"/>
    <w:rsid w:val="00021F75"/>
    <w:rsid w:val="00021F7D"/>
    <w:rsid w:val="0002441A"/>
    <w:rsid w:val="00024547"/>
    <w:rsid w:val="000246BB"/>
    <w:rsid w:val="00025896"/>
    <w:rsid w:val="00026803"/>
    <w:rsid w:val="00030E08"/>
    <w:rsid w:val="00035DCE"/>
    <w:rsid w:val="00036D63"/>
    <w:rsid w:val="00037D4E"/>
    <w:rsid w:val="0004170F"/>
    <w:rsid w:val="00041814"/>
    <w:rsid w:val="00042813"/>
    <w:rsid w:val="00042D4B"/>
    <w:rsid w:val="00047719"/>
    <w:rsid w:val="000479C1"/>
    <w:rsid w:val="00050EA5"/>
    <w:rsid w:val="000551E7"/>
    <w:rsid w:val="00055807"/>
    <w:rsid w:val="00060877"/>
    <w:rsid w:val="0006435F"/>
    <w:rsid w:val="000646E4"/>
    <w:rsid w:val="00065226"/>
    <w:rsid w:val="000675DB"/>
    <w:rsid w:val="00067CAF"/>
    <w:rsid w:val="00071925"/>
    <w:rsid w:val="00072BD8"/>
    <w:rsid w:val="0007421D"/>
    <w:rsid w:val="00074E42"/>
    <w:rsid w:val="00075124"/>
    <w:rsid w:val="0007520C"/>
    <w:rsid w:val="00076AAF"/>
    <w:rsid w:val="00080219"/>
    <w:rsid w:val="00080A2E"/>
    <w:rsid w:val="000816AB"/>
    <w:rsid w:val="00081D1C"/>
    <w:rsid w:val="00084335"/>
    <w:rsid w:val="0008756F"/>
    <w:rsid w:val="00090224"/>
    <w:rsid w:val="000908BA"/>
    <w:rsid w:val="00090A31"/>
    <w:rsid w:val="00090C47"/>
    <w:rsid w:val="0009526B"/>
    <w:rsid w:val="00096CF8"/>
    <w:rsid w:val="00097B9B"/>
    <w:rsid w:val="000A0465"/>
    <w:rsid w:val="000A1BC5"/>
    <w:rsid w:val="000A349A"/>
    <w:rsid w:val="000A51D8"/>
    <w:rsid w:val="000A7D67"/>
    <w:rsid w:val="000B10A9"/>
    <w:rsid w:val="000B1DEF"/>
    <w:rsid w:val="000B1F9C"/>
    <w:rsid w:val="000B2DC3"/>
    <w:rsid w:val="000B351F"/>
    <w:rsid w:val="000B52BB"/>
    <w:rsid w:val="000C0A8B"/>
    <w:rsid w:val="000C2226"/>
    <w:rsid w:val="000C49A5"/>
    <w:rsid w:val="000C501D"/>
    <w:rsid w:val="000D0979"/>
    <w:rsid w:val="000D0E52"/>
    <w:rsid w:val="000D1E0C"/>
    <w:rsid w:val="000D29A3"/>
    <w:rsid w:val="000D3D0A"/>
    <w:rsid w:val="000D4363"/>
    <w:rsid w:val="000D4B80"/>
    <w:rsid w:val="000D6C34"/>
    <w:rsid w:val="000D7316"/>
    <w:rsid w:val="000E1A6C"/>
    <w:rsid w:val="000E267C"/>
    <w:rsid w:val="000E3F6D"/>
    <w:rsid w:val="000E5490"/>
    <w:rsid w:val="000F2B5C"/>
    <w:rsid w:val="000F49B1"/>
    <w:rsid w:val="000F4E89"/>
    <w:rsid w:val="000F5AC1"/>
    <w:rsid w:val="000F5C6D"/>
    <w:rsid w:val="000F7016"/>
    <w:rsid w:val="000F7F61"/>
    <w:rsid w:val="001007BE"/>
    <w:rsid w:val="00103B08"/>
    <w:rsid w:val="001043F4"/>
    <w:rsid w:val="00110144"/>
    <w:rsid w:val="0011071C"/>
    <w:rsid w:val="00112CD9"/>
    <w:rsid w:val="00113283"/>
    <w:rsid w:val="00114EB1"/>
    <w:rsid w:val="0011537D"/>
    <w:rsid w:val="00115CF7"/>
    <w:rsid w:val="001167E6"/>
    <w:rsid w:val="00117ADB"/>
    <w:rsid w:val="001210BA"/>
    <w:rsid w:val="00125F70"/>
    <w:rsid w:val="00126676"/>
    <w:rsid w:val="001271E3"/>
    <w:rsid w:val="001275AC"/>
    <w:rsid w:val="00130C0B"/>
    <w:rsid w:val="001339A8"/>
    <w:rsid w:val="00134624"/>
    <w:rsid w:val="001356D3"/>
    <w:rsid w:val="001356EC"/>
    <w:rsid w:val="001365EE"/>
    <w:rsid w:val="00137AEB"/>
    <w:rsid w:val="00140E58"/>
    <w:rsid w:val="001410B3"/>
    <w:rsid w:val="001412A2"/>
    <w:rsid w:val="001455CE"/>
    <w:rsid w:val="00145756"/>
    <w:rsid w:val="001462EA"/>
    <w:rsid w:val="00146BA3"/>
    <w:rsid w:val="00146D0C"/>
    <w:rsid w:val="0014781D"/>
    <w:rsid w:val="001519EC"/>
    <w:rsid w:val="00151A2D"/>
    <w:rsid w:val="00151C67"/>
    <w:rsid w:val="001535D3"/>
    <w:rsid w:val="00157458"/>
    <w:rsid w:val="00157561"/>
    <w:rsid w:val="001577B5"/>
    <w:rsid w:val="00157E13"/>
    <w:rsid w:val="00160C9F"/>
    <w:rsid w:val="0016318A"/>
    <w:rsid w:val="00166746"/>
    <w:rsid w:val="00166CE8"/>
    <w:rsid w:val="00170CEB"/>
    <w:rsid w:val="001714FB"/>
    <w:rsid w:val="00172914"/>
    <w:rsid w:val="00180096"/>
    <w:rsid w:val="0018137F"/>
    <w:rsid w:val="00181ADA"/>
    <w:rsid w:val="0018466A"/>
    <w:rsid w:val="00186692"/>
    <w:rsid w:val="00190238"/>
    <w:rsid w:val="00192A93"/>
    <w:rsid w:val="00192FEB"/>
    <w:rsid w:val="0019437B"/>
    <w:rsid w:val="00197970"/>
    <w:rsid w:val="001A18C4"/>
    <w:rsid w:val="001A6F6F"/>
    <w:rsid w:val="001B01CC"/>
    <w:rsid w:val="001B5283"/>
    <w:rsid w:val="001B6A1A"/>
    <w:rsid w:val="001C0F79"/>
    <w:rsid w:val="001C5768"/>
    <w:rsid w:val="001C6801"/>
    <w:rsid w:val="001C793C"/>
    <w:rsid w:val="001C7ABF"/>
    <w:rsid w:val="001D31BE"/>
    <w:rsid w:val="001D350D"/>
    <w:rsid w:val="001D399D"/>
    <w:rsid w:val="001D3EEB"/>
    <w:rsid w:val="001D4B69"/>
    <w:rsid w:val="001D5B71"/>
    <w:rsid w:val="001D6C16"/>
    <w:rsid w:val="001D6D03"/>
    <w:rsid w:val="001E06C0"/>
    <w:rsid w:val="001E1CF8"/>
    <w:rsid w:val="001E264D"/>
    <w:rsid w:val="001E3E49"/>
    <w:rsid w:val="001E4109"/>
    <w:rsid w:val="001E4871"/>
    <w:rsid w:val="001E5666"/>
    <w:rsid w:val="001F0853"/>
    <w:rsid w:val="001F443B"/>
    <w:rsid w:val="001F560A"/>
    <w:rsid w:val="00203755"/>
    <w:rsid w:val="0020390E"/>
    <w:rsid w:val="00205146"/>
    <w:rsid w:val="002101B9"/>
    <w:rsid w:val="0021183C"/>
    <w:rsid w:val="00211B23"/>
    <w:rsid w:val="0021207E"/>
    <w:rsid w:val="002123FA"/>
    <w:rsid w:val="0021252A"/>
    <w:rsid w:val="002172B9"/>
    <w:rsid w:val="002216C6"/>
    <w:rsid w:val="00221D73"/>
    <w:rsid w:val="00225519"/>
    <w:rsid w:val="00231085"/>
    <w:rsid w:val="0023215A"/>
    <w:rsid w:val="00232732"/>
    <w:rsid w:val="00232FAA"/>
    <w:rsid w:val="00235F58"/>
    <w:rsid w:val="0023603A"/>
    <w:rsid w:val="0023743A"/>
    <w:rsid w:val="002400C1"/>
    <w:rsid w:val="002405BD"/>
    <w:rsid w:val="002411A1"/>
    <w:rsid w:val="00241CEF"/>
    <w:rsid w:val="00242954"/>
    <w:rsid w:val="00244AC3"/>
    <w:rsid w:val="00244E6A"/>
    <w:rsid w:val="00245B51"/>
    <w:rsid w:val="00245C7E"/>
    <w:rsid w:val="0025383A"/>
    <w:rsid w:val="00255D8E"/>
    <w:rsid w:val="002579FD"/>
    <w:rsid w:val="002603F0"/>
    <w:rsid w:val="0026264A"/>
    <w:rsid w:val="00265481"/>
    <w:rsid w:val="002662C0"/>
    <w:rsid w:val="00266EF4"/>
    <w:rsid w:val="00270D73"/>
    <w:rsid w:val="00270F95"/>
    <w:rsid w:val="002729F0"/>
    <w:rsid w:val="00272F0A"/>
    <w:rsid w:val="0027302A"/>
    <w:rsid w:val="00276D28"/>
    <w:rsid w:val="00282C83"/>
    <w:rsid w:val="00283563"/>
    <w:rsid w:val="00284BEF"/>
    <w:rsid w:val="002854E6"/>
    <w:rsid w:val="00285A16"/>
    <w:rsid w:val="00286786"/>
    <w:rsid w:val="00286AA9"/>
    <w:rsid w:val="0029046C"/>
    <w:rsid w:val="0029195C"/>
    <w:rsid w:val="00291F51"/>
    <w:rsid w:val="00293687"/>
    <w:rsid w:val="0029455B"/>
    <w:rsid w:val="002954E9"/>
    <w:rsid w:val="002972B1"/>
    <w:rsid w:val="00297844"/>
    <w:rsid w:val="00297DF5"/>
    <w:rsid w:val="002A020E"/>
    <w:rsid w:val="002A05E9"/>
    <w:rsid w:val="002A129B"/>
    <w:rsid w:val="002A3137"/>
    <w:rsid w:val="002A35A8"/>
    <w:rsid w:val="002A6168"/>
    <w:rsid w:val="002A6633"/>
    <w:rsid w:val="002A6F6A"/>
    <w:rsid w:val="002B0637"/>
    <w:rsid w:val="002B2613"/>
    <w:rsid w:val="002B5417"/>
    <w:rsid w:val="002C1872"/>
    <w:rsid w:val="002C34F1"/>
    <w:rsid w:val="002C50EF"/>
    <w:rsid w:val="002D010D"/>
    <w:rsid w:val="002D2ACD"/>
    <w:rsid w:val="002D453F"/>
    <w:rsid w:val="002D5C80"/>
    <w:rsid w:val="002D6185"/>
    <w:rsid w:val="002E137F"/>
    <w:rsid w:val="002E426E"/>
    <w:rsid w:val="002E5240"/>
    <w:rsid w:val="002E6486"/>
    <w:rsid w:val="002F30B6"/>
    <w:rsid w:val="002F5523"/>
    <w:rsid w:val="0030031D"/>
    <w:rsid w:val="0030528C"/>
    <w:rsid w:val="003163AA"/>
    <w:rsid w:val="00316C98"/>
    <w:rsid w:val="0031728C"/>
    <w:rsid w:val="0031751B"/>
    <w:rsid w:val="00322564"/>
    <w:rsid w:val="0032308B"/>
    <w:rsid w:val="003247E3"/>
    <w:rsid w:val="0032611B"/>
    <w:rsid w:val="00326831"/>
    <w:rsid w:val="0033064D"/>
    <w:rsid w:val="00330F50"/>
    <w:rsid w:val="00331537"/>
    <w:rsid w:val="003321A5"/>
    <w:rsid w:val="00334FC8"/>
    <w:rsid w:val="00335021"/>
    <w:rsid w:val="00335026"/>
    <w:rsid w:val="003366C3"/>
    <w:rsid w:val="0034348F"/>
    <w:rsid w:val="00343C8F"/>
    <w:rsid w:val="00343E75"/>
    <w:rsid w:val="00345E48"/>
    <w:rsid w:val="00345F7E"/>
    <w:rsid w:val="00352129"/>
    <w:rsid w:val="003545DE"/>
    <w:rsid w:val="00354D07"/>
    <w:rsid w:val="00356152"/>
    <w:rsid w:val="003602AA"/>
    <w:rsid w:val="00360699"/>
    <w:rsid w:val="00362CE0"/>
    <w:rsid w:val="003630BA"/>
    <w:rsid w:val="003638AD"/>
    <w:rsid w:val="00364136"/>
    <w:rsid w:val="0036582D"/>
    <w:rsid w:val="00371FDB"/>
    <w:rsid w:val="0037383C"/>
    <w:rsid w:val="00374B42"/>
    <w:rsid w:val="00374FCC"/>
    <w:rsid w:val="0038174D"/>
    <w:rsid w:val="00381B00"/>
    <w:rsid w:val="00381B8B"/>
    <w:rsid w:val="0038234D"/>
    <w:rsid w:val="0038530F"/>
    <w:rsid w:val="00386BCA"/>
    <w:rsid w:val="003902AD"/>
    <w:rsid w:val="0039248C"/>
    <w:rsid w:val="003941FC"/>
    <w:rsid w:val="003A0BD4"/>
    <w:rsid w:val="003A2EED"/>
    <w:rsid w:val="003A4A20"/>
    <w:rsid w:val="003A5A19"/>
    <w:rsid w:val="003A6560"/>
    <w:rsid w:val="003B2121"/>
    <w:rsid w:val="003B29A5"/>
    <w:rsid w:val="003B5DA7"/>
    <w:rsid w:val="003B7F42"/>
    <w:rsid w:val="003C259B"/>
    <w:rsid w:val="003C2AC7"/>
    <w:rsid w:val="003C2B04"/>
    <w:rsid w:val="003C3C8B"/>
    <w:rsid w:val="003C4763"/>
    <w:rsid w:val="003C5B22"/>
    <w:rsid w:val="003D2666"/>
    <w:rsid w:val="003D5BFA"/>
    <w:rsid w:val="003D62BD"/>
    <w:rsid w:val="003D6E72"/>
    <w:rsid w:val="003D72D7"/>
    <w:rsid w:val="003E2598"/>
    <w:rsid w:val="003E341A"/>
    <w:rsid w:val="003E40EB"/>
    <w:rsid w:val="003E4257"/>
    <w:rsid w:val="003E4496"/>
    <w:rsid w:val="003E5990"/>
    <w:rsid w:val="003E71E5"/>
    <w:rsid w:val="003F2633"/>
    <w:rsid w:val="003F2793"/>
    <w:rsid w:val="003F2796"/>
    <w:rsid w:val="003F4714"/>
    <w:rsid w:val="003F4A75"/>
    <w:rsid w:val="003F7E20"/>
    <w:rsid w:val="00400E05"/>
    <w:rsid w:val="004013B8"/>
    <w:rsid w:val="00402A78"/>
    <w:rsid w:val="00404DAB"/>
    <w:rsid w:val="004105FB"/>
    <w:rsid w:val="004148F9"/>
    <w:rsid w:val="00414CC9"/>
    <w:rsid w:val="00416295"/>
    <w:rsid w:val="00416965"/>
    <w:rsid w:val="004172C6"/>
    <w:rsid w:val="00417479"/>
    <w:rsid w:val="00417ADB"/>
    <w:rsid w:val="00421731"/>
    <w:rsid w:val="00423571"/>
    <w:rsid w:val="0042522C"/>
    <w:rsid w:val="00431429"/>
    <w:rsid w:val="00434099"/>
    <w:rsid w:val="00434937"/>
    <w:rsid w:val="00434A2E"/>
    <w:rsid w:val="004352CF"/>
    <w:rsid w:val="00436C26"/>
    <w:rsid w:val="00436FC2"/>
    <w:rsid w:val="0044032C"/>
    <w:rsid w:val="0044187E"/>
    <w:rsid w:val="004422F1"/>
    <w:rsid w:val="0044325F"/>
    <w:rsid w:val="00444712"/>
    <w:rsid w:val="004447CB"/>
    <w:rsid w:val="00444BCB"/>
    <w:rsid w:val="00447728"/>
    <w:rsid w:val="00453382"/>
    <w:rsid w:val="004575D5"/>
    <w:rsid w:val="00460BBC"/>
    <w:rsid w:val="00461509"/>
    <w:rsid w:val="00462156"/>
    <w:rsid w:val="00463535"/>
    <w:rsid w:val="00464856"/>
    <w:rsid w:val="004654CF"/>
    <w:rsid w:val="004665BF"/>
    <w:rsid w:val="00466E5D"/>
    <w:rsid w:val="00470C67"/>
    <w:rsid w:val="004726EF"/>
    <w:rsid w:val="00472D35"/>
    <w:rsid w:val="004738A6"/>
    <w:rsid w:val="0047406B"/>
    <w:rsid w:val="00475F34"/>
    <w:rsid w:val="004813A0"/>
    <w:rsid w:val="00482B5C"/>
    <w:rsid w:val="0048301E"/>
    <w:rsid w:val="004830BF"/>
    <w:rsid w:val="0048505D"/>
    <w:rsid w:val="00486577"/>
    <w:rsid w:val="0048700E"/>
    <w:rsid w:val="0048756B"/>
    <w:rsid w:val="0048760C"/>
    <w:rsid w:val="00490063"/>
    <w:rsid w:val="00491704"/>
    <w:rsid w:val="00491A14"/>
    <w:rsid w:val="00491A21"/>
    <w:rsid w:val="00492CF9"/>
    <w:rsid w:val="00493357"/>
    <w:rsid w:val="004937A4"/>
    <w:rsid w:val="00493BB6"/>
    <w:rsid w:val="00494AB1"/>
    <w:rsid w:val="004A2591"/>
    <w:rsid w:val="004A2E05"/>
    <w:rsid w:val="004A492B"/>
    <w:rsid w:val="004A4F0F"/>
    <w:rsid w:val="004A5392"/>
    <w:rsid w:val="004A7704"/>
    <w:rsid w:val="004A7864"/>
    <w:rsid w:val="004A7B0E"/>
    <w:rsid w:val="004B11FA"/>
    <w:rsid w:val="004B4704"/>
    <w:rsid w:val="004B4FC5"/>
    <w:rsid w:val="004B5103"/>
    <w:rsid w:val="004B6D79"/>
    <w:rsid w:val="004C23B4"/>
    <w:rsid w:val="004C39C0"/>
    <w:rsid w:val="004D0821"/>
    <w:rsid w:val="004D0926"/>
    <w:rsid w:val="004D5843"/>
    <w:rsid w:val="004D6A11"/>
    <w:rsid w:val="004E2003"/>
    <w:rsid w:val="004E2B6C"/>
    <w:rsid w:val="004E58E4"/>
    <w:rsid w:val="004E671F"/>
    <w:rsid w:val="004E6FEB"/>
    <w:rsid w:val="004F1FFA"/>
    <w:rsid w:val="004F2109"/>
    <w:rsid w:val="004F3CBC"/>
    <w:rsid w:val="004F4B0A"/>
    <w:rsid w:val="004F4DB6"/>
    <w:rsid w:val="004F65A4"/>
    <w:rsid w:val="004F72DA"/>
    <w:rsid w:val="004F7A89"/>
    <w:rsid w:val="005036B0"/>
    <w:rsid w:val="005043FC"/>
    <w:rsid w:val="0050748E"/>
    <w:rsid w:val="005109A3"/>
    <w:rsid w:val="00511576"/>
    <w:rsid w:val="00513F99"/>
    <w:rsid w:val="0052032C"/>
    <w:rsid w:val="00521BA7"/>
    <w:rsid w:val="00522ADA"/>
    <w:rsid w:val="0052479D"/>
    <w:rsid w:val="005248FD"/>
    <w:rsid w:val="0052798A"/>
    <w:rsid w:val="00530B0F"/>
    <w:rsid w:val="00534010"/>
    <w:rsid w:val="0053589F"/>
    <w:rsid w:val="00541690"/>
    <w:rsid w:val="00544455"/>
    <w:rsid w:val="00544494"/>
    <w:rsid w:val="00546E1E"/>
    <w:rsid w:val="005501C4"/>
    <w:rsid w:val="005514F4"/>
    <w:rsid w:val="00554044"/>
    <w:rsid w:val="005540C0"/>
    <w:rsid w:val="0055497F"/>
    <w:rsid w:val="00554D48"/>
    <w:rsid w:val="00555370"/>
    <w:rsid w:val="00557064"/>
    <w:rsid w:val="00557717"/>
    <w:rsid w:val="00560E41"/>
    <w:rsid w:val="00561980"/>
    <w:rsid w:val="00562698"/>
    <w:rsid w:val="00563BB8"/>
    <w:rsid w:val="005643E0"/>
    <w:rsid w:val="00564BCC"/>
    <w:rsid w:val="00566B2D"/>
    <w:rsid w:val="00567866"/>
    <w:rsid w:val="00570355"/>
    <w:rsid w:val="005731D4"/>
    <w:rsid w:val="0057325C"/>
    <w:rsid w:val="00573B90"/>
    <w:rsid w:val="00580ED0"/>
    <w:rsid w:val="0058267A"/>
    <w:rsid w:val="0058300F"/>
    <w:rsid w:val="005837E9"/>
    <w:rsid w:val="00584383"/>
    <w:rsid w:val="00584E6B"/>
    <w:rsid w:val="005856A0"/>
    <w:rsid w:val="00586D83"/>
    <w:rsid w:val="00592BAC"/>
    <w:rsid w:val="005948B8"/>
    <w:rsid w:val="0059490A"/>
    <w:rsid w:val="00594A9E"/>
    <w:rsid w:val="00594E42"/>
    <w:rsid w:val="00597361"/>
    <w:rsid w:val="00597468"/>
    <w:rsid w:val="00597854"/>
    <w:rsid w:val="00597F38"/>
    <w:rsid w:val="005A14D2"/>
    <w:rsid w:val="005A15C8"/>
    <w:rsid w:val="005A25AE"/>
    <w:rsid w:val="005A410C"/>
    <w:rsid w:val="005A4674"/>
    <w:rsid w:val="005A5689"/>
    <w:rsid w:val="005A74F5"/>
    <w:rsid w:val="005B12F3"/>
    <w:rsid w:val="005B1519"/>
    <w:rsid w:val="005B234D"/>
    <w:rsid w:val="005B25B5"/>
    <w:rsid w:val="005B361B"/>
    <w:rsid w:val="005B363B"/>
    <w:rsid w:val="005B4BFD"/>
    <w:rsid w:val="005B718D"/>
    <w:rsid w:val="005C189E"/>
    <w:rsid w:val="005C1BDB"/>
    <w:rsid w:val="005C1FD7"/>
    <w:rsid w:val="005C35E8"/>
    <w:rsid w:val="005C3648"/>
    <w:rsid w:val="005C418C"/>
    <w:rsid w:val="005C4AD7"/>
    <w:rsid w:val="005C5723"/>
    <w:rsid w:val="005C7A8C"/>
    <w:rsid w:val="005D0F70"/>
    <w:rsid w:val="005D594E"/>
    <w:rsid w:val="005D6A6A"/>
    <w:rsid w:val="005D70E4"/>
    <w:rsid w:val="005D734E"/>
    <w:rsid w:val="005E16B8"/>
    <w:rsid w:val="005E2D06"/>
    <w:rsid w:val="005E35A3"/>
    <w:rsid w:val="005E7888"/>
    <w:rsid w:val="005F0EB3"/>
    <w:rsid w:val="005F12D9"/>
    <w:rsid w:val="005F1D90"/>
    <w:rsid w:val="005F33DA"/>
    <w:rsid w:val="005F4EEE"/>
    <w:rsid w:val="00600CD0"/>
    <w:rsid w:val="00600CD7"/>
    <w:rsid w:val="00600F0A"/>
    <w:rsid w:val="00601E2F"/>
    <w:rsid w:val="00602533"/>
    <w:rsid w:val="006026AD"/>
    <w:rsid w:val="00602813"/>
    <w:rsid w:val="00603E44"/>
    <w:rsid w:val="0060619D"/>
    <w:rsid w:val="00614D1D"/>
    <w:rsid w:val="00617C9A"/>
    <w:rsid w:val="00621203"/>
    <w:rsid w:val="00624F9A"/>
    <w:rsid w:val="0062546C"/>
    <w:rsid w:val="00625CC6"/>
    <w:rsid w:val="00625FB0"/>
    <w:rsid w:val="00632D24"/>
    <w:rsid w:val="006346CD"/>
    <w:rsid w:val="006346EB"/>
    <w:rsid w:val="00634C05"/>
    <w:rsid w:val="00636EFB"/>
    <w:rsid w:val="00640D8F"/>
    <w:rsid w:val="006418EC"/>
    <w:rsid w:val="00643D13"/>
    <w:rsid w:val="00643F7F"/>
    <w:rsid w:val="006441F6"/>
    <w:rsid w:val="00644FA2"/>
    <w:rsid w:val="00645BC7"/>
    <w:rsid w:val="00645E47"/>
    <w:rsid w:val="0064754A"/>
    <w:rsid w:val="00650B5F"/>
    <w:rsid w:val="00653C47"/>
    <w:rsid w:val="00654463"/>
    <w:rsid w:val="0065541D"/>
    <w:rsid w:val="0065653F"/>
    <w:rsid w:val="00657649"/>
    <w:rsid w:val="00660614"/>
    <w:rsid w:val="0066152B"/>
    <w:rsid w:val="006618CC"/>
    <w:rsid w:val="00665FBE"/>
    <w:rsid w:val="0066770D"/>
    <w:rsid w:val="00667C59"/>
    <w:rsid w:val="00672171"/>
    <w:rsid w:val="00672B01"/>
    <w:rsid w:val="00672C3E"/>
    <w:rsid w:val="006730B2"/>
    <w:rsid w:val="00676439"/>
    <w:rsid w:val="00677F2F"/>
    <w:rsid w:val="006807C6"/>
    <w:rsid w:val="00682F67"/>
    <w:rsid w:val="00685352"/>
    <w:rsid w:val="00686851"/>
    <w:rsid w:val="006928F5"/>
    <w:rsid w:val="00692FF1"/>
    <w:rsid w:val="00693A82"/>
    <w:rsid w:val="00693B1B"/>
    <w:rsid w:val="00694EDB"/>
    <w:rsid w:val="006A11EC"/>
    <w:rsid w:val="006A1F4A"/>
    <w:rsid w:val="006A332D"/>
    <w:rsid w:val="006A4628"/>
    <w:rsid w:val="006A7B61"/>
    <w:rsid w:val="006B1CE8"/>
    <w:rsid w:val="006B3537"/>
    <w:rsid w:val="006B434A"/>
    <w:rsid w:val="006B45E0"/>
    <w:rsid w:val="006C1ECB"/>
    <w:rsid w:val="006C4D40"/>
    <w:rsid w:val="006C5C71"/>
    <w:rsid w:val="006C7048"/>
    <w:rsid w:val="006C7A3F"/>
    <w:rsid w:val="006D048E"/>
    <w:rsid w:val="006D1385"/>
    <w:rsid w:val="006D13C4"/>
    <w:rsid w:val="006D1482"/>
    <w:rsid w:val="006D293C"/>
    <w:rsid w:val="006D52D7"/>
    <w:rsid w:val="006E0B69"/>
    <w:rsid w:val="006E1084"/>
    <w:rsid w:val="006E3BD4"/>
    <w:rsid w:val="006E46BE"/>
    <w:rsid w:val="006E53FA"/>
    <w:rsid w:val="006F03B8"/>
    <w:rsid w:val="006F04D2"/>
    <w:rsid w:val="006F4D3E"/>
    <w:rsid w:val="006F5AB9"/>
    <w:rsid w:val="006F6756"/>
    <w:rsid w:val="006F79B2"/>
    <w:rsid w:val="00700C0C"/>
    <w:rsid w:val="00701183"/>
    <w:rsid w:val="0070134D"/>
    <w:rsid w:val="00703272"/>
    <w:rsid w:val="00703562"/>
    <w:rsid w:val="00704300"/>
    <w:rsid w:val="0070516B"/>
    <w:rsid w:val="0070795C"/>
    <w:rsid w:val="00707E8D"/>
    <w:rsid w:val="00711576"/>
    <w:rsid w:val="00715F75"/>
    <w:rsid w:val="00717754"/>
    <w:rsid w:val="00720BA2"/>
    <w:rsid w:val="00720C95"/>
    <w:rsid w:val="00722E00"/>
    <w:rsid w:val="00723C24"/>
    <w:rsid w:val="0072489F"/>
    <w:rsid w:val="007269F6"/>
    <w:rsid w:val="00727382"/>
    <w:rsid w:val="007278A7"/>
    <w:rsid w:val="007308F8"/>
    <w:rsid w:val="00732457"/>
    <w:rsid w:val="00733C9D"/>
    <w:rsid w:val="00734841"/>
    <w:rsid w:val="007349D2"/>
    <w:rsid w:val="00735512"/>
    <w:rsid w:val="007358EB"/>
    <w:rsid w:val="007403E1"/>
    <w:rsid w:val="00741C8D"/>
    <w:rsid w:val="00744929"/>
    <w:rsid w:val="007454C2"/>
    <w:rsid w:val="0074695E"/>
    <w:rsid w:val="00746CA9"/>
    <w:rsid w:val="00747FA5"/>
    <w:rsid w:val="0075193E"/>
    <w:rsid w:val="00752C52"/>
    <w:rsid w:val="00752F34"/>
    <w:rsid w:val="00753AED"/>
    <w:rsid w:val="00754748"/>
    <w:rsid w:val="00755D52"/>
    <w:rsid w:val="0075761E"/>
    <w:rsid w:val="00760A17"/>
    <w:rsid w:val="00763989"/>
    <w:rsid w:val="00764A5B"/>
    <w:rsid w:val="007650B4"/>
    <w:rsid w:val="007656E1"/>
    <w:rsid w:val="007711C1"/>
    <w:rsid w:val="00771614"/>
    <w:rsid w:val="00773D79"/>
    <w:rsid w:val="00775673"/>
    <w:rsid w:val="0077636A"/>
    <w:rsid w:val="00776BCC"/>
    <w:rsid w:val="007771BD"/>
    <w:rsid w:val="00783D93"/>
    <w:rsid w:val="0078525C"/>
    <w:rsid w:val="007875FB"/>
    <w:rsid w:val="00787628"/>
    <w:rsid w:val="007924D5"/>
    <w:rsid w:val="00793977"/>
    <w:rsid w:val="0079439C"/>
    <w:rsid w:val="00794A62"/>
    <w:rsid w:val="007969FA"/>
    <w:rsid w:val="00796D5D"/>
    <w:rsid w:val="007A09FD"/>
    <w:rsid w:val="007A1F77"/>
    <w:rsid w:val="007A2891"/>
    <w:rsid w:val="007A5112"/>
    <w:rsid w:val="007A576B"/>
    <w:rsid w:val="007A6035"/>
    <w:rsid w:val="007B0D82"/>
    <w:rsid w:val="007B3499"/>
    <w:rsid w:val="007B4063"/>
    <w:rsid w:val="007B5895"/>
    <w:rsid w:val="007B6376"/>
    <w:rsid w:val="007B77F3"/>
    <w:rsid w:val="007B7CA6"/>
    <w:rsid w:val="007C0EB3"/>
    <w:rsid w:val="007C2F6E"/>
    <w:rsid w:val="007C3D4A"/>
    <w:rsid w:val="007C4E44"/>
    <w:rsid w:val="007C680D"/>
    <w:rsid w:val="007C7A82"/>
    <w:rsid w:val="007D08CC"/>
    <w:rsid w:val="007D0C17"/>
    <w:rsid w:val="007D31D0"/>
    <w:rsid w:val="007D33B0"/>
    <w:rsid w:val="007D3690"/>
    <w:rsid w:val="007D418B"/>
    <w:rsid w:val="007D5FD9"/>
    <w:rsid w:val="007D7B92"/>
    <w:rsid w:val="007E0078"/>
    <w:rsid w:val="007E041E"/>
    <w:rsid w:val="007E0478"/>
    <w:rsid w:val="007E3F9D"/>
    <w:rsid w:val="007E68E1"/>
    <w:rsid w:val="007E7823"/>
    <w:rsid w:val="007F1596"/>
    <w:rsid w:val="007F3B0E"/>
    <w:rsid w:val="007F7BB0"/>
    <w:rsid w:val="0080177B"/>
    <w:rsid w:val="00802178"/>
    <w:rsid w:val="0080331C"/>
    <w:rsid w:val="00804AFC"/>
    <w:rsid w:val="00805FE4"/>
    <w:rsid w:val="008064CA"/>
    <w:rsid w:val="00810EA6"/>
    <w:rsid w:val="008115F5"/>
    <w:rsid w:val="008118BE"/>
    <w:rsid w:val="00812669"/>
    <w:rsid w:val="008126C7"/>
    <w:rsid w:val="00812B5D"/>
    <w:rsid w:val="008139C2"/>
    <w:rsid w:val="00815563"/>
    <w:rsid w:val="0081737D"/>
    <w:rsid w:val="00817438"/>
    <w:rsid w:val="00820B9E"/>
    <w:rsid w:val="00821A2A"/>
    <w:rsid w:val="008241FF"/>
    <w:rsid w:val="00824724"/>
    <w:rsid w:val="00825231"/>
    <w:rsid w:val="008275D2"/>
    <w:rsid w:val="00830598"/>
    <w:rsid w:val="008322FE"/>
    <w:rsid w:val="0083439F"/>
    <w:rsid w:val="008365A3"/>
    <w:rsid w:val="00836F83"/>
    <w:rsid w:val="00837A90"/>
    <w:rsid w:val="0084069A"/>
    <w:rsid w:val="008421FB"/>
    <w:rsid w:val="00844C11"/>
    <w:rsid w:val="00845BBF"/>
    <w:rsid w:val="00847196"/>
    <w:rsid w:val="00847279"/>
    <w:rsid w:val="00852EFE"/>
    <w:rsid w:val="008549E5"/>
    <w:rsid w:val="0085615B"/>
    <w:rsid w:val="00857CBA"/>
    <w:rsid w:val="00860DF2"/>
    <w:rsid w:val="00863ACA"/>
    <w:rsid w:val="008651B5"/>
    <w:rsid w:val="00870B65"/>
    <w:rsid w:val="008713C1"/>
    <w:rsid w:val="008715A7"/>
    <w:rsid w:val="00871A5E"/>
    <w:rsid w:val="00871BCE"/>
    <w:rsid w:val="008739F8"/>
    <w:rsid w:val="008744F8"/>
    <w:rsid w:val="00876E8D"/>
    <w:rsid w:val="00881818"/>
    <w:rsid w:val="00881DAD"/>
    <w:rsid w:val="00882C3F"/>
    <w:rsid w:val="0088332C"/>
    <w:rsid w:val="008838E8"/>
    <w:rsid w:val="00884F33"/>
    <w:rsid w:val="00886DF8"/>
    <w:rsid w:val="0089001A"/>
    <w:rsid w:val="00890E8F"/>
    <w:rsid w:val="00890F89"/>
    <w:rsid w:val="00891CE5"/>
    <w:rsid w:val="00891E65"/>
    <w:rsid w:val="008921E7"/>
    <w:rsid w:val="008957EE"/>
    <w:rsid w:val="00895FF7"/>
    <w:rsid w:val="00896631"/>
    <w:rsid w:val="00897489"/>
    <w:rsid w:val="008A230B"/>
    <w:rsid w:val="008A3EC4"/>
    <w:rsid w:val="008A481A"/>
    <w:rsid w:val="008A5684"/>
    <w:rsid w:val="008A735D"/>
    <w:rsid w:val="008B16E7"/>
    <w:rsid w:val="008B2F81"/>
    <w:rsid w:val="008B64CF"/>
    <w:rsid w:val="008B7DED"/>
    <w:rsid w:val="008C1283"/>
    <w:rsid w:val="008C1996"/>
    <w:rsid w:val="008C1A05"/>
    <w:rsid w:val="008C41E5"/>
    <w:rsid w:val="008C5E7D"/>
    <w:rsid w:val="008C6A19"/>
    <w:rsid w:val="008C6CAF"/>
    <w:rsid w:val="008C6FDB"/>
    <w:rsid w:val="008C7405"/>
    <w:rsid w:val="008C74EF"/>
    <w:rsid w:val="008D08D7"/>
    <w:rsid w:val="008D0EC1"/>
    <w:rsid w:val="008D3039"/>
    <w:rsid w:val="008D3311"/>
    <w:rsid w:val="008D3793"/>
    <w:rsid w:val="008D3E61"/>
    <w:rsid w:val="008D4577"/>
    <w:rsid w:val="008E2040"/>
    <w:rsid w:val="008E2EBF"/>
    <w:rsid w:val="008E590C"/>
    <w:rsid w:val="008E7005"/>
    <w:rsid w:val="008F0D69"/>
    <w:rsid w:val="008F2E2A"/>
    <w:rsid w:val="008F3801"/>
    <w:rsid w:val="008F3ABF"/>
    <w:rsid w:val="008F51A7"/>
    <w:rsid w:val="00900176"/>
    <w:rsid w:val="00900703"/>
    <w:rsid w:val="00903CCA"/>
    <w:rsid w:val="00903FA4"/>
    <w:rsid w:val="00904B74"/>
    <w:rsid w:val="00907201"/>
    <w:rsid w:val="00910BC3"/>
    <w:rsid w:val="00920013"/>
    <w:rsid w:val="00921480"/>
    <w:rsid w:val="00921636"/>
    <w:rsid w:val="00923869"/>
    <w:rsid w:val="0092481A"/>
    <w:rsid w:val="00925E52"/>
    <w:rsid w:val="00925FE9"/>
    <w:rsid w:val="00926995"/>
    <w:rsid w:val="009276B4"/>
    <w:rsid w:val="009301C6"/>
    <w:rsid w:val="009310C0"/>
    <w:rsid w:val="00931372"/>
    <w:rsid w:val="00932FB8"/>
    <w:rsid w:val="00934032"/>
    <w:rsid w:val="009346B6"/>
    <w:rsid w:val="00934725"/>
    <w:rsid w:val="00937249"/>
    <w:rsid w:val="0093761F"/>
    <w:rsid w:val="009401E7"/>
    <w:rsid w:val="00942DE9"/>
    <w:rsid w:val="0094408B"/>
    <w:rsid w:val="009448DA"/>
    <w:rsid w:val="00944F45"/>
    <w:rsid w:val="00946B2B"/>
    <w:rsid w:val="00950CC7"/>
    <w:rsid w:val="009528E6"/>
    <w:rsid w:val="0095442E"/>
    <w:rsid w:val="0095541E"/>
    <w:rsid w:val="0095727B"/>
    <w:rsid w:val="00957EFE"/>
    <w:rsid w:val="0096075D"/>
    <w:rsid w:val="00961C22"/>
    <w:rsid w:val="00962137"/>
    <w:rsid w:val="00962701"/>
    <w:rsid w:val="009638C4"/>
    <w:rsid w:val="009640D7"/>
    <w:rsid w:val="00964BE5"/>
    <w:rsid w:val="0096684F"/>
    <w:rsid w:val="00966DB9"/>
    <w:rsid w:val="00966DE6"/>
    <w:rsid w:val="00966F94"/>
    <w:rsid w:val="00967331"/>
    <w:rsid w:val="00967B1C"/>
    <w:rsid w:val="009702E2"/>
    <w:rsid w:val="0097230D"/>
    <w:rsid w:val="00975D6A"/>
    <w:rsid w:val="009770FF"/>
    <w:rsid w:val="00980D2C"/>
    <w:rsid w:val="00981D1C"/>
    <w:rsid w:val="00984D0D"/>
    <w:rsid w:val="00987176"/>
    <w:rsid w:val="00990533"/>
    <w:rsid w:val="00991CDE"/>
    <w:rsid w:val="00991DE7"/>
    <w:rsid w:val="00994AC8"/>
    <w:rsid w:val="00996A91"/>
    <w:rsid w:val="009A0370"/>
    <w:rsid w:val="009A2512"/>
    <w:rsid w:val="009A75B8"/>
    <w:rsid w:val="009A7EF3"/>
    <w:rsid w:val="009B1CD5"/>
    <w:rsid w:val="009B3D97"/>
    <w:rsid w:val="009B44BB"/>
    <w:rsid w:val="009B5B1D"/>
    <w:rsid w:val="009B6A78"/>
    <w:rsid w:val="009C382D"/>
    <w:rsid w:val="009C42B2"/>
    <w:rsid w:val="009D5A28"/>
    <w:rsid w:val="009E1ED9"/>
    <w:rsid w:val="009E2B1E"/>
    <w:rsid w:val="009E2BBA"/>
    <w:rsid w:val="009E2D48"/>
    <w:rsid w:val="009E3568"/>
    <w:rsid w:val="009E5530"/>
    <w:rsid w:val="009F0D05"/>
    <w:rsid w:val="009F1D7D"/>
    <w:rsid w:val="009F57FD"/>
    <w:rsid w:val="009F5E14"/>
    <w:rsid w:val="00A01766"/>
    <w:rsid w:val="00A03298"/>
    <w:rsid w:val="00A03E56"/>
    <w:rsid w:val="00A06C88"/>
    <w:rsid w:val="00A07335"/>
    <w:rsid w:val="00A13C71"/>
    <w:rsid w:val="00A15A9E"/>
    <w:rsid w:val="00A15FDB"/>
    <w:rsid w:val="00A207C3"/>
    <w:rsid w:val="00A22995"/>
    <w:rsid w:val="00A229E9"/>
    <w:rsid w:val="00A27986"/>
    <w:rsid w:val="00A310DF"/>
    <w:rsid w:val="00A31B0C"/>
    <w:rsid w:val="00A3236E"/>
    <w:rsid w:val="00A33C57"/>
    <w:rsid w:val="00A33F2D"/>
    <w:rsid w:val="00A34F19"/>
    <w:rsid w:val="00A350EB"/>
    <w:rsid w:val="00A351C3"/>
    <w:rsid w:val="00A35CA7"/>
    <w:rsid w:val="00A37843"/>
    <w:rsid w:val="00A4035B"/>
    <w:rsid w:val="00A4051F"/>
    <w:rsid w:val="00A40AA1"/>
    <w:rsid w:val="00A41A85"/>
    <w:rsid w:val="00A4637C"/>
    <w:rsid w:val="00A471A4"/>
    <w:rsid w:val="00A50829"/>
    <w:rsid w:val="00A52417"/>
    <w:rsid w:val="00A53A33"/>
    <w:rsid w:val="00A53E22"/>
    <w:rsid w:val="00A540CB"/>
    <w:rsid w:val="00A55DC1"/>
    <w:rsid w:val="00A60906"/>
    <w:rsid w:val="00A61536"/>
    <w:rsid w:val="00A624FF"/>
    <w:rsid w:val="00A625FA"/>
    <w:rsid w:val="00A64324"/>
    <w:rsid w:val="00A649D0"/>
    <w:rsid w:val="00A705CA"/>
    <w:rsid w:val="00A707B2"/>
    <w:rsid w:val="00A70924"/>
    <w:rsid w:val="00A709EF"/>
    <w:rsid w:val="00A7107A"/>
    <w:rsid w:val="00A72864"/>
    <w:rsid w:val="00A7363C"/>
    <w:rsid w:val="00A742E0"/>
    <w:rsid w:val="00A76CFB"/>
    <w:rsid w:val="00A770C3"/>
    <w:rsid w:val="00A779E7"/>
    <w:rsid w:val="00A803B1"/>
    <w:rsid w:val="00A8041F"/>
    <w:rsid w:val="00A82060"/>
    <w:rsid w:val="00A84F68"/>
    <w:rsid w:val="00A86EBD"/>
    <w:rsid w:val="00A9076D"/>
    <w:rsid w:val="00A90EE4"/>
    <w:rsid w:val="00A9123C"/>
    <w:rsid w:val="00A93683"/>
    <w:rsid w:val="00A93691"/>
    <w:rsid w:val="00A93CB3"/>
    <w:rsid w:val="00A9551A"/>
    <w:rsid w:val="00A95644"/>
    <w:rsid w:val="00A97251"/>
    <w:rsid w:val="00A976B9"/>
    <w:rsid w:val="00A97B57"/>
    <w:rsid w:val="00AA0595"/>
    <w:rsid w:val="00AA42EE"/>
    <w:rsid w:val="00AA4608"/>
    <w:rsid w:val="00AA6542"/>
    <w:rsid w:val="00AA66A4"/>
    <w:rsid w:val="00AA69B5"/>
    <w:rsid w:val="00AA6B06"/>
    <w:rsid w:val="00AA6BC8"/>
    <w:rsid w:val="00AB5472"/>
    <w:rsid w:val="00AB5B94"/>
    <w:rsid w:val="00AC25E4"/>
    <w:rsid w:val="00AD2669"/>
    <w:rsid w:val="00AD2758"/>
    <w:rsid w:val="00AD2E79"/>
    <w:rsid w:val="00AD4A37"/>
    <w:rsid w:val="00AD626C"/>
    <w:rsid w:val="00AD79AB"/>
    <w:rsid w:val="00AE0622"/>
    <w:rsid w:val="00AE0F03"/>
    <w:rsid w:val="00AE43DC"/>
    <w:rsid w:val="00AF0833"/>
    <w:rsid w:val="00AF10AC"/>
    <w:rsid w:val="00AF5E19"/>
    <w:rsid w:val="00AF5ED3"/>
    <w:rsid w:val="00AF7CC9"/>
    <w:rsid w:val="00B00492"/>
    <w:rsid w:val="00B00561"/>
    <w:rsid w:val="00B00B22"/>
    <w:rsid w:val="00B00CD5"/>
    <w:rsid w:val="00B01A88"/>
    <w:rsid w:val="00B03926"/>
    <w:rsid w:val="00B04B62"/>
    <w:rsid w:val="00B04C49"/>
    <w:rsid w:val="00B102C6"/>
    <w:rsid w:val="00B1188C"/>
    <w:rsid w:val="00B12458"/>
    <w:rsid w:val="00B14A82"/>
    <w:rsid w:val="00B15898"/>
    <w:rsid w:val="00B17137"/>
    <w:rsid w:val="00B23810"/>
    <w:rsid w:val="00B23D91"/>
    <w:rsid w:val="00B249A3"/>
    <w:rsid w:val="00B26B3E"/>
    <w:rsid w:val="00B27A43"/>
    <w:rsid w:val="00B27DD3"/>
    <w:rsid w:val="00B30EE5"/>
    <w:rsid w:val="00B360C0"/>
    <w:rsid w:val="00B37CB6"/>
    <w:rsid w:val="00B37EF6"/>
    <w:rsid w:val="00B4171A"/>
    <w:rsid w:val="00B418D4"/>
    <w:rsid w:val="00B4389E"/>
    <w:rsid w:val="00B439B6"/>
    <w:rsid w:val="00B45979"/>
    <w:rsid w:val="00B46BDD"/>
    <w:rsid w:val="00B47C1E"/>
    <w:rsid w:val="00B50239"/>
    <w:rsid w:val="00B543A6"/>
    <w:rsid w:val="00B55D7A"/>
    <w:rsid w:val="00B57192"/>
    <w:rsid w:val="00B5746D"/>
    <w:rsid w:val="00B6023D"/>
    <w:rsid w:val="00B60D41"/>
    <w:rsid w:val="00B61082"/>
    <w:rsid w:val="00B640BE"/>
    <w:rsid w:val="00B6712D"/>
    <w:rsid w:val="00B6734E"/>
    <w:rsid w:val="00B673EE"/>
    <w:rsid w:val="00B67ABC"/>
    <w:rsid w:val="00B73E5B"/>
    <w:rsid w:val="00B75218"/>
    <w:rsid w:val="00B76229"/>
    <w:rsid w:val="00B76539"/>
    <w:rsid w:val="00B768A6"/>
    <w:rsid w:val="00B769D4"/>
    <w:rsid w:val="00B77B3A"/>
    <w:rsid w:val="00B820BF"/>
    <w:rsid w:val="00B8773F"/>
    <w:rsid w:val="00B8797C"/>
    <w:rsid w:val="00B91239"/>
    <w:rsid w:val="00B97841"/>
    <w:rsid w:val="00BA0EF9"/>
    <w:rsid w:val="00BA4F0C"/>
    <w:rsid w:val="00BA4FCA"/>
    <w:rsid w:val="00BB02D2"/>
    <w:rsid w:val="00BB0487"/>
    <w:rsid w:val="00BB1432"/>
    <w:rsid w:val="00BB2F90"/>
    <w:rsid w:val="00BB309D"/>
    <w:rsid w:val="00BB45D9"/>
    <w:rsid w:val="00BB64D1"/>
    <w:rsid w:val="00BB6606"/>
    <w:rsid w:val="00BB6794"/>
    <w:rsid w:val="00BB6A74"/>
    <w:rsid w:val="00BB6EFE"/>
    <w:rsid w:val="00BB70EF"/>
    <w:rsid w:val="00BB71EE"/>
    <w:rsid w:val="00BB7711"/>
    <w:rsid w:val="00BB7C0D"/>
    <w:rsid w:val="00BC2EBA"/>
    <w:rsid w:val="00BC49C6"/>
    <w:rsid w:val="00BD021A"/>
    <w:rsid w:val="00BD1926"/>
    <w:rsid w:val="00BD232E"/>
    <w:rsid w:val="00BD380F"/>
    <w:rsid w:val="00BD4292"/>
    <w:rsid w:val="00BD5CAA"/>
    <w:rsid w:val="00BD694A"/>
    <w:rsid w:val="00BE3FAE"/>
    <w:rsid w:val="00BE4399"/>
    <w:rsid w:val="00BE59D8"/>
    <w:rsid w:val="00BF14D8"/>
    <w:rsid w:val="00BF21B3"/>
    <w:rsid w:val="00BF3905"/>
    <w:rsid w:val="00BF5291"/>
    <w:rsid w:val="00BF55B8"/>
    <w:rsid w:val="00BF5F15"/>
    <w:rsid w:val="00BF7506"/>
    <w:rsid w:val="00C02421"/>
    <w:rsid w:val="00C0658B"/>
    <w:rsid w:val="00C06941"/>
    <w:rsid w:val="00C13ACE"/>
    <w:rsid w:val="00C15D1B"/>
    <w:rsid w:val="00C16538"/>
    <w:rsid w:val="00C16BAC"/>
    <w:rsid w:val="00C21D99"/>
    <w:rsid w:val="00C225D3"/>
    <w:rsid w:val="00C227C4"/>
    <w:rsid w:val="00C23B1A"/>
    <w:rsid w:val="00C26122"/>
    <w:rsid w:val="00C31D70"/>
    <w:rsid w:val="00C329A9"/>
    <w:rsid w:val="00C357F2"/>
    <w:rsid w:val="00C35863"/>
    <w:rsid w:val="00C3663A"/>
    <w:rsid w:val="00C37023"/>
    <w:rsid w:val="00C37083"/>
    <w:rsid w:val="00C37F76"/>
    <w:rsid w:val="00C409A1"/>
    <w:rsid w:val="00C41611"/>
    <w:rsid w:val="00C422EA"/>
    <w:rsid w:val="00C458A3"/>
    <w:rsid w:val="00C46D56"/>
    <w:rsid w:val="00C47A01"/>
    <w:rsid w:val="00C50494"/>
    <w:rsid w:val="00C50B92"/>
    <w:rsid w:val="00C5269D"/>
    <w:rsid w:val="00C5556F"/>
    <w:rsid w:val="00C57736"/>
    <w:rsid w:val="00C604B9"/>
    <w:rsid w:val="00C60574"/>
    <w:rsid w:val="00C611DA"/>
    <w:rsid w:val="00C6183B"/>
    <w:rsid w:val="00C62D5C"/>
    <w:rsid w:val="00C63E3A"/>
    <w:rsid w:val="00C64A1A"/>
    <w:rsid w:val="00C64AE7"/>
    <w:rsid w:val="00C65ED6"/>
    <w:rsid w:val="00C66F7B"/>
    <w:rsid w:val="00C67A5D"/>
    <w:rsid w:val="00C71161"/>
    <w:rsid w:val="00C71E98"/>
    <w:rsid w:val="00C7282E"/>
    <w:rsid w:val="00C737EB"/>
    <w:rsid w:val="00C73887"/>
    <w:rsid w:val="00C73A8D"/>
    <w:rsid w:val="00C75DC1"/>
    <w:rsid w:val="00C80613"/>
    <w:rsid w:val="00C80676"/>
    <w:rsid w:val="00C8252E"/>
    <w:rsid w:val="00C82C96"/>
    <w:rsid w:val="00C82F8F"/>
    <w:rsid w:val="00C835FB"/>
    <w:rsid w:val="00C8397A"/>
    <w:rsid w:val="00C858DB"/>
    <w:rsid w:val="00C90543"/>
    <w:rsid w:val="00C90C8B"/>
    <w:rsid w:val="00C91426"/>
    <w:rsid w:val="00C91E5F"/>
    <w:rsid w:val="00CA0D93"/>
    <w:rsid w:val="00CA0E7F"/>
    <w:rsid w:val="00CA0E8C"/>
    <w:rsid w:val="00CA13A9"/>
    <w:rsid w:val="00CA221F"/>
    <w:rsid w:val="00CA30C2"/>
    <w:rsid w:val="00CA3542"/>
    <w:rsid w:val="00CA5435"/>
    <w:rsid w:val="00CA62B3"/>
    <w:rsid w:val="00CA6782"/>
    <w:rsid w:val="00CB016B"/>
    <w:rsid w:val="00CB0718"/>
    <w:rsid w:val="00CB13B4"/>
    <w:rsid w:val="00CB15DE"/>
    <w:rsid w:val="00CB3157"/>
    <w:rsid w:val="00CB3168"/>
    <w:rsid w:val="00CB3D40"/>
    <w:rsid w:val="00CB494F"/>
    <w:rsid w:val="00CB6B1B"/>
    <w:rsid w:val="00CC13DF"/>
    <w:rsid w:val="00CC26D8"/>
    <w:rsid w:val="00CC427C"/>
    <w:rsid w:val="00CC6104"/>
    <w:rsid w:val="00CC618F"/>
    <w:rsid w:val="00CD06D5"/>
    <w:rsid w:val="00CD40B9"/>
    <w:rsid w:val="00CD53F8"/>
    <w:rsid w:val="00CE183B"/>
    <w:rsid w:val="00CE4559"/>
    <w:rsid w:val="00CE45B3"/>
    <w:rsid w:val="00CE560D"/>
    <w:rsid w:val="00CE67F3"/>
    <w:rsid w:val="00CF29CC"/>
    <w:rsid w:val="00CF4F12"/>
    <w:rsid w:val="00CF64A1"/>
    <w:rsid w:val="00D0010D"/>
    <w:rsid w:val="00D009E7"/>
    <w:rsid w:val="00D015E3"/>
    <w:rsid w:val="00D019D3"/>
    <w:rsid w:val="00D01A69"/>
    <w:rsid w:val="00D01FB0"/>
    <w:rsid w:val="00D03933"/>
    <w:rsid w:val="00D05E70"/>
    <w:rsid w:val="00D07FC9"/>
    <w:rsid w:val="00D13D04"/>
    <w:rsid w:val="00D157A7"/>
    <w:rsid w:val="00D20CED"/>
    <w:rsid w:val="00D240A3"/>
    <w:rsid w:val="00D30D2B"/>
    <w:rsid w:val="00D31806"/>
    <w:rsid w:val="00D345B9"/>
    <w:rsid w:val="00D359A6"/>
    <w:rsid w:val="00D364B3"/>
    <w:rsid w:val="00D4221C"/>
    <w:rsid w:val="00D430A0"/>
    <w:rsid w:val="00D44D0F"/>
    <w:rsid w:val="00D4609C"/>
    <w:rsid w:val="00D461A3"/>
    <w:rsid w:val="00D46F7D"/>
    <w:rsid w:val="00D47E9D"/>
    <w:rsid w:val="00D47FFA"/>
    <w:rsid w:val="00D509B4"/>
    <w:rsid w:val="00D513C6"/>
    <w:rsid w:val="00D5172A"/>
    <w:rsid w:val="00D52A3A"/>
    <w:rsid w:val="00D542DE"/>
    <w:rsid w:val="00D54533"/>
    <w:rsid w:val="00D55024"/>
    <w:rsid w:val="00D552DB"/>
    <w:rsid w:val="00D554F6"/>
    <w:rsid w:val="00D57B61"/>
    <w:rsid w:val="00D57DBD"/>
    <w:rsid w:val="00D60220"/>
    <w:rsid w:val="00D63C37"/>
    <w:rsid w:val="00D640D0"/>
    <w:rsid w:val="00D65BC9"/>
    <w:rsid w:val="00D6634B"/>
    <w:rsid w:val="00D676C6"/>
    <w:rsid w:val="00D67EB7"/>
    <w:rsid w:val="00D70756"/>
    <w:rsid w:val="00D735DD"/>
    <w:rsid w:val="00D74226"/>
    <w:rsid w:val="00D74796"/>
    <w:rsid w:val="00D7557D"/>
    <w:rsid w:val="00D77E7D"/>
    <w:rsid w:val="00D81626"/>
    <w:rsid w:val="00D821FE"/>
    <w:rsid w:val="00D82B95"/>
    <w:rsid w:val="00D83838"/>
    <w:rsid w:val="00D86D85"/>
    <w:rsid w:val="00D91814"/>
    <w:rsid w:val="00D922CA"/>
    <w:rsid w:val="00D95162"/>
    <w:rsid w:val="00D9681B"/>
    <w:rsid w:val="00D978B4"/>
    <w:rsid w:val="00D978CE"/>
    <w:rsid w:val="00DA0D0A"/>
    <w:rsid w:val="00DA0E4F"/>
    <w:rsid w:val="00DA14FE"/>
    <w:rsid w:val="00DA22A2"/>
    <w:rsid w:val="00DA48E9"/>
    <w:rsid w:val="00DA4F17"/>
    <w:rsid w:val="00DA502B"/>
    <w:rsid w:val="00DA558E"/>
    <w:rsid w:val="00DA5D5A"/>
    <w:rsid w:val="00DB0E4D"/>
    <w:rsid w:val="00DB650D"/>
    <w:rsid w:val="00DB7805"/>
    <w:rsid w:val="00DC1C2E"/>
    <w:rsid w:val="00DC2EED"/>
    <w:rsid w:val="00DC3CE9"/>
    <w:rsid w:val="00DC479E"/>
    <w:rsid w:val="00DC74DA"/>
    <w:rsid w:val="00DD1879"/>
    <w:rsid w:val="00DD2354"/>
    <w:rsid w:val="00DD2E1D"/>
    <w:rsid w:val="00DD2FF7"/>
    <w:rsid w:val="00DD30E0"/>
    <w:rsid w:val="00DD573A"/>
    <w:rsid w:val="00DD6616"/>
    <w:rsid w:val="00DD74F3"/>
    <w:rsid w:val="00DD7703"/>
    <w:rsid w:val="00DE332F"/>
    <w:rsid w:val="00DE4522"/>
    <w:rsid w:val="00DE7310"/>
    <w:rsid w:val="00DE7CA5"/>
    <w:rsid w:val="00DF0F81"/>
    <w:rsid w:val="00DF136C"/>
    <w:rsid w:val="00DF2436"/>
    <w:rsid w:val="00DF4611"/>
    <w:rsid w:val="00DF52F2"/>
    <w:rsid w:val="00DF58D1"/>
    <w:rsid w:val="00DF722C"/>
    <w:rsid w:val="00DF7CB8"/>
    <w:rsid w:val="00E012F6"/>
    <w:rsid w:val="00E0182D"/>
    <w:rsid w:val="00E03EA9"/>
    <w:rsid w:val="00E044CA"/>
    <w:rsid w:val="00E06679"/>
    <w:rsid w:val="00E072FB"/>
    <w:rsid w:val="00E10FB8"/>
    <w:rsid w:val="00E13662"/>
    <w:rsid w:val="00E13B6E"/>
    <w:rsid w:val="00E14836"/>
    <w:rsid w:val="00E14D9B"/>
    <w:rsid w:val="00E1535E"/>
    <w:rsid w:val="00E16DCC"/>
    <w:rsid w:val="00E1701C"/>
    <w:rsid w:val="00E1714B"/>
    <w:rsid w:val="00E2051C"/>
    <w:rsid w:val="00E20893"/>
    <w:rsid w:val="00E21AF9"/>
    <w:rsid w:val="00E223F8"/>
    <w:rsid w:val="00E225B5"/>
    <w:rsid w:val="00E26019"/>
    <w:rsid w:val="00E26068"/>
    <w:rsid w:val="00E26D64"/>
    <w:rsid w:val="00E279C5"/>
    <w:rsid w:val="00E33246"/>
    <w:rsid w:val="00E36C34"/>
    <w:rsid w:val="00E41845"/>
    <w:rsid w:val="00E45269"/>
    <w:rsid w:val="00E4531D"/>
    <w:rsid w:val="00E45813"/>
    <w:rsid w:val="00E4582F"/>
    <w:rsid w:val="00E46718"/>
    <w:rsid w:val="00E51399"/>
    <w:rsid w:val="00E5395F"/>
    <w:rsid w:val="00E54187"/>
    <w:rsid w:val="00E60A87"/>
    <w:rsid w:val="00E61C82"/>
    <w:rsid w:val="00E656DF"/>
    <w:rsid w:val="00E65B0B"/>
    <w:rsid w:val="00E66C94"/>
    <w:rsid w:val="00E66FEF"/>
    <w:rsid w:val="00E6742F"/>
    <w:rsid w:val="00E67F5C"/>
    <w:rsid w:val="00E7250F"/>
    <w:rsid w:val="00E76A88"/>
    <w:rsid w:val="00E77671"/>
    <w:rsid w:val="00E82EFD"/>
    <w:rsid w:val="00E8344F"/>
    <w:rsid w:val="00E8658F"/>
    <w:rsid w:val="00E903D1"/>
    <w:rsid w:val="00E90BA7"/>
    <w:rsid w:val="00E918B6"/>
    <w:rsid w:val="00E91E72"/>
    <w:rsid w:val="00E94295"/>
    <w:rsid w:val="00E94481"/>
    <w:rsid w:val="00E96CAB"/>
    <w:rsid w:val="00E974C2"/>
    <w:rsid w:val="00EA3813"/>
    <w:rsid w:val="00EA41B5"/>
    <w:rsid w:val="00EA7857"/>
    <w:rsid w:val="00EB0B28"/>
    <w:rsid w:val="00EB1453"/>
    <w:rsid w:val="00EB2711"/>
    <w:rsid w:val="00EB3776"/>
    <w:rsid w:val="00EB480E"/>
    <w:rsid w:val="00EB4CE0"/>
    <w:rsid w:val="00EB4F9D"/>
    <w:rsid w:val="00EB6F3E"/>
    <w:rsid w:val="00EB72BE"/>
    <w:rsid w:val="00EC053D"/>
    <w:rsid w:val="00EC2CB3"/>
    <w:rsid w:val="00EC311E"/>
    <w:rsid w:val="00EC43B1"/>
    <w:rsid w:val="00EC5547"/>
    <w:rsid w:val="00EC71C2"/>
    <w:rsid w:val="00ED1A4F"/>
    <w:rsid w:val="00ED2AB8"/>
    <w:rsid w:val="00ED3EE8"/>
    <w:rsid w:val="00ED7067"/>
    <w:rsid w:val="00ED79ED"/>
    <w:rsid w:val="00EE0D7B"/>
    <w:rsid w:val="00EE2FFB"/>
    <w:rsid w:val="00EE3C1F"/>
    <w:rsid w:val="00EE5CF9"/>
    <w:rsid w:val="00EF0D5D"/>
    <w:rsid w:val="00EF36CC"/>
    <w:rsid w:val="00EF4710"/>
    <w:rsid w:val="00EF5C9C"/>
    <w:rsid w:val="00EF7ED7"/>
    <w:rsid w:val="00F019AC"/>
    <w:rsid w:val="00F01F69"/>
    <w:rsid w:val="00F02371"/>
    <w:rsid w:val="00F025D2"/>
    <w:rsid w:val="00F03894"/>
    <w:rsid w:val="00F05635"/>
    <w:rsid w:val="00F05B28"/>
    <w:rsid w:val="00F068AF"/>
    <w:rsid w:val="00F07FB8"/>
    <w:rsid w:val="00F10180"/>
    <w:rsid w:val="00F11E3D"/>
    <w:rsid w:val="00F11EAB"/>
    <w:rsid w:val="00F127DB"/>
    <w:rsid w:val="00F12F10"/>
    <w:rsid w:val="00F16371"/>
    <w:rsid w:val="00F16E24"/>
    <w:rsid w:val="00F176CE"/>
    <w:rsid w:val="00F17864"/>
    <w:rsid w:val="00F1791F"/>
    <w:rsid w:val="00F20DA9"/>
    <w:rsid w:val="00F23ABA"/>
    <w:rsid w:val="00F24AF8"/>
    <w:rsid w:val="00F27D49"/>
    <w:rsid w:val="00F30973"/>
    <w:rsid w:val="00F32C63"/>
    <w:rsid w:val="00F33D2F"/>
    <w:rsid w:val="00F35140"/>
    <w:rsid w:val="00F358E8"/>
    <w:rsid w:val="00F360BD"/>
    <w:rsid w:val="00F4019E"/>
    <w:rsid w:val="00F43D69"/>
    <w:rsid w:val="00F45AFF"/>
    <w:rsid w:val="00F47129"/>
    <w:rsid w:val="00F50FA9"/>
    <w:rsid w:val="00F526D7"/>
    <w:rsid w:val="00F54EDF"/>
    <w:rsid w:val="00F55132"/>
    <w:rsid w:val="00F57603"/>
    <w:rsid w:val="00F6136F"/>
    <w:rsid w:val="00F61DF3"/>
    <w:rsid w:val="00F61FA4"/>
    <w:rsid w:val="00F62B16"/>
    <w:rsid w:val="00F64131"/>
    <w:rsid w:val="00F64B07"/>
    <w:rsid w:val="00F6563F"/>
    <w:rsid w:val="00F661B3"/>
    <w:rsid w:val="00F661E6"/>
    <w:rsid w:val="00F66AFB"/>
    <w:rsid w:val="00F67BEB"/>
    <w:rsid w:val="00F71D70"/>
    <w:rsid w:val="00F72865"/>
    <w:rsid w:val="00F7354B"/>
    <w:rsid w:val="00F800F3"/>
    <w:rsid w:val="00F80162"/>
    <w:rsid w:val="00F802CD"/>
    <w:rsid w:val="00F81A80"/>
    <w:rsid w:val="00F823E3"/>
    <w:rsid w:val="00F8283F"/>
    <w:rsid w:val="00F82E64"/>
    <w:rsid w:val="00F83E60"/>
    <w:rsid w:val="00F8476E"/>
    <w:rsid w:val="00F84DBF"/>
    <w:rsid w:val="00F859DC"/>
    <w:rsid w:val="00F85B13"/>
    <w:rsid w:val="00F91C2B"/>
    <w:rsid w:val="00F92BE1"/>
    <w:rsid w:val="00F94560"/>
    <w:rsid w:val="00F9738F"/>
    <w:rsid w:val="00F97514"/>
    <w:rsid w:val="00FA1057"/>
    <w:rsid w:val="00FA1D24"/>
    <w:rsid w:val="00FA2CB3"/>
    <w:rsid w:val="00FA4B67"/>
    <w:rsid w:val="00FA5708"/>
    <w:rsid w:val="00FA672D"/>
    <w:rsid w:val="00FA6BC0"/>
    <w:rsid w:val="00FA7AA4"/>
    <w:rsid w:val="00FB19D5"/>
    <w:rsid w:val="00FB1D67"/>
    <w:rsid w:val="00FB3436"/>
    <w:rsid w:val="00FB4713"/>
    <w:rsid w:val="00FB4DE8"/>
    <w:rsid w:val="00FB5CBB"/>
    <w:rsid w:val="00FC14C9"/>
    <w:rsid w:val="00FC3C60"/>
    <w:rsid w:val="00FC3FC6"/>
    <w:rsid w:val="00FC4DD1"/>
    <w:rsid w:val="00FC6EA2"/>
    <w:rsid w:val="00FD0F5C"/>
    <w:rsid w:val="00FD2846"/>
    <w:rsid w:val="00FD2E2F"/>
    <w:rsid w:val="00FD2F4B"/>
    <w:rsid w:val="00FD4444"/>
    <w:rsid w:val="00FD4E93"/>
    <w:rsid w:val="00FD5C27"/>
    <w:rsid w:val="00FE1CAF"/>
    <w:rsid w:val="00FE3DED"/>
    <w:rsid w:val="00FE4000"/>
    <w:rsid w:val="00FE5922"/>
    <w:rsid w:val="00FE7DEA"/>
    <w:rsid w:val="00FF2CC0"/>
    <w:rsid w:val="00FF2E6D"/>
    <w:rsid w:val="00FF3983"/>
    <w:rsid w:val="00FF496F"/>
    <w:rsid w:val="00FF4CC7"/>
    <w:rsid w:val="00FF7EB9"/>
    <w:rsid w:val="01014920"/>
    <w:rsid w:val="010A4318"/>
    <w:rsid w:val="015E476C"/>
    <w:rsid w:val="019650F2"/>
    <w:rsid w:val="01B73D77"/>
    <w:rsid w:val="01C30B81"/>
    <w:rsid w:val="01D83700"/>
    <w:rsid w:val="020C6875"/>
    <w:rsid w:val="02401C25"/>
    <w:rsid w:val="026149DE"/>
    <w:rsid w:val="031D5C5E"/>
    <w:rsid w:val="03DC31FF"/>
    <w:rsid w:val="03E3572D"/>
    <w:rsid w:val="04422105"/>
    <w:rsid w:val="054370FF"/>
    <w:rsid w:val="05D63451"/>
    <w:rsid w:val="05E26622"/>
    <w:rsid w:val="06677B60"/>
    <w:rsid w:val="06FD022A"/>
    <w:rsid w:val="07B04D33"/>
    <w:rsid w:val="086A1C2D"/>
    <w:rsid w:val="089562F0"/>
    <w:rsid w:val="09926ADE"/>
    <w:rsid w:val="0A2166A1"/>
    <w:rsid w:val="0A690261"/>
    <w:rsid w:val="0AE20513"/>
    <w:rsid w:val="0B0C7AC5"/>
    <w:rsid w:val="0B5B0786"/>
    <w:rsid w:val="0BAE5C3A"/>
    <w:rsid w:val="0BB743F1"/>
    <w:rsid w:val="0C5B40EC"/>
    <w:rsid w:val="0CB376A1"/>
    <w:rsid w:val="0D11100A"/>
    <w:rsid w:val="0E266744"/>
    <w:rsid w:val="0E3D7000"/>
    <w:rsid w:val="0E455E10"/>
    <w:rsid w:val="0FEE5EE7"/>
    <w:rsid w:val="10B82EEF"/>
    <w:rsid w:val="119A7318"/>
    <w:rsid w:val="11E06311"/>
    <w:rsid w:val="122F0FF9"/>
    <w:rsid w:val="13064FB2"/>
    <w:rsid w:val="13434BA5"/>
    <w:rsid w:val="13EC5CCF"/>
    <w:rsid w:val="142A22C9"/>
    <w:rsid w:val="152D6842"/>
    <w:rsid w:val="15797DD7"/>
    <w:rsid w:val="15837AA7"/>
    <w:rsid w:val="16476E1C"/>
    <w:rsid w:val="16861553"/>
    <w:rsid w:val="174A225C"/>
    <w:rsid w:val="17550823"/>
    <w:rsid w:val="17DB191F"/>
    <w:rsid w:val="187C6833"/>
    <w:rsid w:val="1977012D"/>
    <w:rsid w:val="1A221EEC"/>
    <w:rsid w:val="1A285777"/>
    <w:rsid w:val="1B6A2CDA"/>
    <w:rsid w:val="1B8036D5"/>
    <w:rsid w:val="1BD7AF3E"/>
    <w:rsid w:val="1C557F24"/>
    <w:rsid w:val="1D4D73D9"/>
    <w:rsid w:val="1DFC3255"/>
    <w:rsid w:val="1E8C71F0"/>
    <w:rsid w:val="1FBB296D"/>
    <w:rsid w:val="20B51452"/>
    <w:rsid w:val="210750D4"/>
    <w:rsid w:val="221200F3"/>
    <w:rsid w:val="22BF1DAA"/>
    <w:rsid w:val="23382518"/>
    <w:rsid w:val="24654ECD"/>
    <w:rsid w:val="24947A88"/>
    <w:rsid w:val="25850FA1"/>
    <w:rsid w:val="25C37EA8"/>
    <w:rsid w:val="262464B4"/>
    <w:rsid w:val="272C46B7"/>
    <w:rsid w:val="27CC5A46"/>
    <w:rsid w:val="280E4785"/>
    <w:rsid w:val="28A01F9F"/>
    <w:rsid w:val="29B84D60"/>
    <w:rsid w:val="29E70207"/>
    <w:rsid w:val="2A7C7BF7"/>
    <w:rsid w:val="2AE453A8"/>
    <w:rsid w:val="2AFB28C8"/>
    <w:rsid w:val="2B5C0193"/>
    <w:rsid w:val="2BAF7B59"/>
    <w:rsid w:val="2C43004B"/>
    <w:rsid w:val="2D473AF8"/>
    <w:rsid w:val="2D7029C8"/>
    <w:rsid w:val="2E8137D4"/>
    <w:rsid w:val="2E837EE4"/>
    <w:rsid w:val="2E945DCC"/>
    <w:rsid w:val="2EAE0E37"/>
    <w:rsid w:val="2F2B0F21"/>
    <w:rsid w:val="2F327207"/>
    <w:rsid w:val="2F6806E6"/>
    <w:rsid w:val="2FB25C5D"/>
    <w:rsid w:val="2FCD6225"/>
    <w:rsid w:val="2FDF7974"/>
    <w:rsid w:val="30653329"/>
    <w:rsid w:val="30D258DB"/>
    <w:rsid w:val="31F61299"/>
    <w:rsid w:val="31FA1B94"/>
    <w:rsid w:val="321C6815"/>
    <w:rsid w:val="325D20BC"/>
    <w:rsid w:val="32D14D79"/>
    <w:rsid w:val="33311299"/>
    <w:rsid w:val="340609A2"/>
    <w:rsid w:val="344B438B"/>
    <w:rsid w:val="34E70CC4"/>
    <w:rsid w:val="35C215D2"/>
    <w:rsid w:val="364149F4"/>
    <w:rsid w:val="3652332A"/>
    <w:rsid w:val="37504EF7"/>
    <w:rsid w:val="37986788"/>
    <w:rsid w:val="37FFD73A"/>
    <w:rsid w:val="38125D1C"/>
    <w:rsid w:val="38927C66"/>
    <w:rsid w:val="38F250DB"/>
    <w:rsid w:val="395931C0"/>
    <w:rsid w:val="39E60BE9"/>
    <w:rsid w:val="3A9248CD"/>
    <w:rsid w:val="3C7B6712"/>
    <w:rsid w:val="3C7D7C99"/>
    <w:rsid w:val="3CFE2305"/>
    <w:rsid w:val="3D7F5AEF"/>
    <w:rsid w:val="3D893ADC"/>
    <w:rsid w:val="3FB945A8"/>
    <w:rsid w:val="42826DD7"/>
    <w:rsid w:val="444713EE"/>
    <w:rsid w:val="444F6318"/>
    <w:rsid w:val="446108E9"/>
    <w:rsid w:val="44DB5BE1"/>
    <w:rsid w:val="46244F73"/>
    <w:rsid w:val="47B33398"/>
    <w:rsid w:val="47B56226"/>
    <w:rsid w:val="48200165"/>
    <w:rsid w:val="486E1A05"/>
    <w:rsid w:val="48BE6150"/>
    <w:rsid w:val="48C030C0"/>
    <w:rsid w:val="49621BB5"/>
    <w:rsid w:val="49DC0CBB"/>
    <w:rsid w:val="49E113CD"/>
    <w:rsid w:val="4A1D4813"/>
    <w:rsid w:val="4ABC1088"/>
    <w:rsid w:val="4B2661A2"/>
    <w:rsid w:val="4B3F5FCF"/>
    <w:rsid w:val="4BA032C9"/>
    <w:rsid w:val="4C1930A0"/>
    <w:rsid w:val="4C994BFF"/>
    <w:rsid w:val="4CEA409B"/>
    <w:rsid w:val="4D1453C7"/>
    <w:rsid w:val="4E140406"/>
    <w:rsid w:val="4FD003DD"/>
    <w:rsid w:val="50B278BE"/>
    <w:rsid w:val="519173C3"/>
    <w:rsid w:val="519837F5"/>
    <w:rsid w:val="52340E90"/>
    <w:rsid w:val="529A59AA"/>
    <w:rsid w:val="52D75447"/>
    <w:rsid w:val="53425821"/>
    <w:rsid w:val="54EE57E5"/>
    <w:rsid w:val="55B51AD8"/>
    <w:rsid w:val="56283C63"/>
    <w:rsid w:val="56D85886"/>
    <w:rsid w:val="583F03D5"/>
    <w:rsid w:val="585A22C5"/>
    <w:rsid w:val="58705427"/>
    <w:rsid w:val="5B2102B2"/>
    <w:rsid w:val="5D1A7775"/>
    <w:rsid w:val="5D5757D7"/>
    <w:rsid w:val="5E33577D"/>
    <w:rsid w:val="5E436D45"/>
    <w:rsid w:val="5F1C0978"/>
    <w:rsid w:val="5F8A4BA7"/>
    <w:rsid w:val="60132B5C"/>
    <w:rsid w:val="602325D8"/>
    <w:rsid w:val="61597D85"/>
    <w:rsid w:val="61846637"/>
    <w:rsid w:val="61BF34EB"/>
    <w:rsid w:val="63293ABC"/>
    <w:rsid w:val="63864720"/>
    <w:rsid w:val="63FE69AC"/>
    <w:rsid w:val="64846C8C"/>
    <w:rsid w:val="64CA4AE0"/>
    <w:rsid w:val="66AC5C30"/>
    <w:rsid w:val="66DC53EE"/>
    <w:rsid w:val="6727446C"/>
    <w:rsid w:val="67823CAD"/>
    <w:rsid w:val="68984CB4"/>
    <w:rsid w:val="68F53477"/>
    <w:rsid w:val="69490E7A"/>
    <w:rsid w:val="69664D09"/>
    <w:rsid w:val="69795070"/>
    <w:rsid w:val="69A265AC"/>
    <w:rsid w:val="6A456C5E"/>
    <w:rsid w:val="6A562DF4"/>
    <w:rsid w:val="6B413622"/>
    <w:rsid w:val="6B7A3E78"/>
    <w:rsid w:val="6C0668CF"/>
    <w:rsid w:val="6C2B16C7"/>
    <w:rsid w:val="6C2D770F"/>
    <w:rsid w:val="6CFC5947"/>
    <w:rsid w:val="6D9C4931"/>
    <w:rsid w:val="6DD04DD0"/>
    <w:rsid w:val="6DFB7C45"/>
    <w:rsid w:val="6F0E7CBF"/>
    <w:rsid w:val="6F44392B"/>
    <w:rsid w:val="6FFF9986"/>
    <w:rsid w:val="705E4721"/>
    <w:rsid w:val="70CE2FB9"/>
    <w:rsid w:val="71327AFD"/>
    <w:rsid w:val="717C601E"/>
    <w:rsid w:val="71813AE6"/>
    <w:rsid w:val="71AD57FE"/>
    <w:rsid w:val="72AA0ADE"/>
    <w:rsid w:val="733F71F3"/>
    <w:rsid w:val="7398763B"/>
    <w:rsid w:val="74530A15"/>
    <w:rsid w:val="76867E94"/>
    <w:rsid w:val="76C51847"/>
    <w:rsid w:val="771C0F57"/>
    <w:rsid w:val="77F24622"/>
    <w:rsid w:val="7A8A5334"/>
    <w:rsid w:val="7AAA4B56"/>
    <w:rsid w:val="7C9712F4"/>
    <w:rsid w:val="7C9FC782"/>
    <w:rsid w:val="7CFF0ACE"/>
    <w:rsid w:val="7D9129DC"/>
    <w:rsid w:val="7E1D01F0"/>
    <w:rsid w:val="7F034FD4"/>
    <w:rsid w:val="7F67D30A"/>
    <w:rsid w:val="7F735D11"/>
    <w:rsid w:val="7FA1450A"/>
    <w:rsid w:val="7FCE656A"/>
    <w:rsid w:val="7FE83C2C"/>
    <w:rsid w:val="7FF71D33"/>
    <w:rsid w:val="7FFCBB4F"/>
    <w:rsid w:val="7FFF7C6A"/>
    <w:rsid w:val="7FFFBDFE"/>
    <w:rsid w:val="AEB61ABD"/>
    <w:rsid w:val="AEFFF9A4"/>
    <w:rsid w:val="B9FF4B29"/>
    <w:rsid w:val="BF7AEFA2"/>
    <w:rsid w:val="BFF32D81"/>
    <w:rsid w:val="DDD79A9C"/>
    <w:rsid w:val="EB8F43E9"/>
    <w:rsid w:val="ECFC3609"/>
    <w:rsid w:val="EFF63630"/>
    <w:rsid w:val="F7B31B91"/>
    <w:rsid w:val="F7DDB215"/>
    <w:rsid w:val="F7FC053C"/>
    <w:rsid w:val="FABE8395"/>
    <w:rsid w:val="FD77CC7E"/>
    <w:rsid w:val="FDEE0857"/>
    <w:rsid w:val="FF3E1C12"/>
    <w:rsid w:val="FF9F7478"/>
    <w:rsid w:val="FFF66A60"/>
    <w:rsid w:val="FFFBF30B"/>
    <w:rsid w:val="FFFF60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tabs>
        <w:tab w:val="right" w:pos="8562"/>
      </w:tabs>
      <w:spacing w:beforeLines="100" w:afterLines="100"/>
      <w:outlineLvl w:val="0"/>
    </w:pPr>
    <w:rPr>
      <w:rFonts w:eastAsia="黑体"/>
      <w:b/>
      <w:bCs/>
      <w:sz w:val="48"/>
      <w:szCs w:val="36"/>
    </w:rPr>
  </w:style>
  <w:style w:type="paragraph" w:styleId="3">
    <w:name w:val="heading 2"/>
    <w:basedOn w:val="1"/>
    <w:next w:val="1"/>
    <w:link w:val="27"/>
    <w:autoRedefine/>
    <w:qFormat/>
    <w:uiPriority w:val="0"/>
    <w:pPr>
      <w:keepNext/>
      <w:keepLines/>
      <w:spacing w:before="240" w:after="240" w:line="415" w:lineRule="auto"/>
      <w:outlineLvl w:val="1"/>
    </w:pPr>
    <w:rPr>
      <w:rFonts w:ascii="Arial" w:hAnsi="Arial" w:eastAsia="楷体_GB2312"/>
      <w:b/>
      <w:bCs/>
      <w:sz w:val="44"/>
      <w:szCs w:val="32"/>
    </w:rPr>
  </w:style>
  <w:style w:type="paragraph" w:styleId="4">
    <w:name w:val="heading 3"/>
    <w:basedOn w:val="1"/>
    <w:next w:val="1"/>
    <w:autoRedefine/>
    <w:qFormat/>
    <w:uiPriority w:val="0"/>
    <w:pPr>
      <w:keepNext/>
      <w:keepLines/>
      <w:spacing w:before="260" w:after="260" w:line="415" w:lineRule="auto"/>
      <w:outlineLvl w:val="2"/>
    </w:pPr>
    <w:rPr>
      <w:rFonts w:eastAsia="黑体"/>
      <w:b/>
      <w:bCs/>
      <w:sz w:val="28"/>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autoRedefine/>
    <w:semiHidden/>
    <w:qFormat/>
    <w:uiPriority w:val="0"/>
    <w:pPr>
      <w:shd w:val="clear" w:color="auto" w:fill="000080"/>
    </w:pPr>
  </w:style>
  <w:style w:type="paragraph" w:styleId="6">
    <w:name w:val="Date"/>
    <w:basedOn w:val="1"/>
    <w:next w:val="1"/>
    <w:autoRedefine/>
    <w:qFormat/>
    <w:uiPriority w:val="0"/>
    <w:pPr>
      <w:ind w:left="100" w:leftChars="2500"/>
    </w:pPr>
  </w:style>
  <w:style w:type="paragraph" w:styleId="7">
    <w:name w:val="Balloon Text"/>
    <w:basedOn w:val="1"/>
    <w:autoRedefine/>
    <w:semiHidden/>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5"/>
    <w:autoRedefine/>
    <w:qFormat/>
    <w:locked/>
    <w:uiPriority w:val="0"/>
    <w:pPr>
      <w:spacing w:before="240" w:after="60"/>
      <w:jc w:val="center"/>
      <w:outlineLvl w:val="0"/>
    </w:pPr>
    <w:rPr>
      <w:rFonts w:ascii="Cambria" w:hAnsi="Cambria"/>
      <w:b/>
      <w:bCs/>
      <w:sz w:val="32"/>
      <w:szCs w:val="32"/>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locked/>
    <w:uiPriority w:val="0"/>
    <w:rPr>
      <w:b/>
    </w:rPr>
  </w:style>
  <w:style w:type="character" w:styleId="17">
    <w:name w:val="page number"/>
    <w:basedOn w:val="15"/>
    <w:qFormat/>
    <w:uiPriority w:val="0"/>
    <w:rPr>
      <w:rFonts w:cs="Times New Roman"/>
    </w:rPr>
  </w:style>
  <w:style w:type="character" w:styleId="18">
    <w:name w:val="Hyperlink"/>
    <w:basedOn w:val="15"/>
    <w:qFormat/>
    <w:uiPriority w:val="0"/>
    <w:rPr>
      <w:rFonts w:cs="Times New Roman"/>
      <w:color w:val="0000FF"/>
      <w:u w:val="single"/>
    </w:rPr>
  </w:style>
  <w:style w:type="paragraph" w:customStyle="1" w:styleId="19">
    <w:name w:val="样式 标题 1 + 黑体 小三 非加粗"/>
    <w:basedOn w:val="2"/>
    <w:qFormat/>
    <w:uiPriority w:val="0"/>
    <w:pPr>
      <w:keepLines/>
      <w:tabs>
        <w:tab w:val="clear" w:pos="8562"/>
      </w:tabs>
      <w:spacing w:beforeLines="0" w:afterLines="0" w:line="578" w:lineRule="auto"/>
    </w:pPr>
    <w:rPr>
      <w:rFonts w:ascii="黑体" w:hAnsi="黑体"/>
      <w:b w:val="0"/>
      <w:bCs w:val="0"/>
      <w:kern w:val="44"/>
      <w:sz w:val="30"/>
      <w:szCs w:val="44"/>
    </w:rPr>
  </w:style>
  <w:style w:type="paragraph" w:customStyle="1" w:styleId="20">
    <w:name w:val="样式7"/>
    <w:basedOn w:val="2"/>
    <w:autoRedefine/>
    <w:qFormat/>
    <w:uiPriority w:val="0"/>
    <w:pPr>
      <w:keepLines/>
      <w:tabs>
        <w:tab w:val="clear" w:pos="8562"/>
      </w:tabs>
      <w:spacing w:before="312" w:after="312" w:line="300" w:lineRule="auto"/>
    </w:pPr>
    <w:rPr>
      <w:rFonts w:ascii="黑体" w:hAnsi="Trebuchet MS"/>
      <w:b w:val="0"/>
      <w:kern w:val="44"/>
      <w:szCs w:val="48"/>
    </w:rPr>
  </w:style>
  <w:style w:type="paragraph" w:customStyle="1" w:styleId="21">
    <w:name w:val="样式8"/>
    <w:basedOn w:val="20"/>
    <w:autoRedefine/>
    <w:qFormat/>
    <w:uiPriority w:val="0"/>
    <w:pPr/>
  </w:style>
  <w:style w:type="character" w:customStyle="1" w:styleId="22">
    <w:name w:val="页眉 字符"/>
    <w:basedOn w:val="15"/>
    <w:link w:val="9"/>
    <w:autoRedefine/>
    <w:qFormat/>
    <w:locked/>
    <w:uiPriority w:val="0"/>
    <w:rPr>
      <w:rFonts w:cs="Times New Roman"/>
      <w:kern w:val="2"/>
      <w:sz w:val="18"/>
      <w:szCs w:val="18"/>
    </w:rPr>
  </w:style>
  <w:style w:type="paragraph" w:customStyle="1" w:styleId="23">
    <w:name w:val="列出段落1"/>
    <w:basedOn w:val="1"/>
    <w:autoRedefine/>
    <w:qFormat/>
    <w:uiPriority w:val="0"/>
    <w:pPr>
      <w:ind w:firstLine="420" w:firstLineChars="200"/>
    </w:pPr>
  </w:style>
  <w:style w:type="paragraph" w:styleId="24">
    <w:name w:val="List Paragraph"/>
    <w:basedOn w:val="1"/>
    <w:autoRedefine/>
    <w:qFormat/>
    <w:uiPriority w:val="34"/>
    <w:pPr>
      <w:ind w:firstLine="420" w:firstLineChars="200"/>
    </w:pPr>
  </w:style>
  <w:style w:type="character" w:customStyle="1" w:styleId="25">
    <w:name w:val="标题 字符"/>
    <w:basedOn w:val="15"/>
    <w:link w:val="12"/>
    <w:autoRedefine/>
    <w:qFormat/>
    <w:uiPriority w:val="0"/>
    <w:rPr>
      <w:rFonts w:ascii="Cambria" w:hAnsi="Cambria"/>
      <w:b/>
      <w:bCs/>
      <w:kern w:val="2"/>
      <w:sz w:val="32"/>
      <w:szCs w:val="32"/>
    </w:rPr>
  </w:style>
  <w:style w:type="character" w:customStyle="1" w:styleId="26">
    <w:name w:val="HTML 预设格式 字符"/>
    <w:basedOn w:val="15"/>
    <w:link w:val="10"/>
    <w:autoRedefine/>
    <w:qFormat/>
    <w:uiPriority w:val="99"/>
    <w:rPr>
      <w:rFonts w:ascii="宋体" w:hAnsi="宋体" w:cs="宋体"/>
      <w:sz w:val="24"/>
      <w:szCs w:val="24"/>
    </w:rPr>
  </w:style>
  <w:style w:type="character" w:customStyle="1" w:styleId="27">
    <w:name w:val="标题 2 字符"/>
    <w:basedOn w:val="15"/>
    <w:link w:val="3"/>
    <w:autoRedefine/>
    <w:qFormat/>
    <w:uiPriority w:val="0"/>
    <w:rPr>
      <w:rFonts w:ascii="Arial" w:hAnsi="Arial" w:eastAsia="楷体_GB2312"/>
      <w:b/>
      <w:bCs/>
      <w:kern w:val="2"/>
      <w:sz w:val="44"/>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ella\Library\Containers\com.kingsoft.wpsoffice.mac\Data\C:\Users\quella\Library\Containers\com.kingsoft.wpsoffice.mac\Data\&#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晶格型"/>
      <sectRole val="1"/>
    </customSectPr>
  </customSectProps>
  <customShpExts>
    <customShpInfo spid="_x0000_s205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邀请函-锰会议-4月-20110320-2.dot</Template>
  <Company>CHINA</Company>
  <Pages>7</Pages>
  <Words>3878</Words>
  <Characters>3977</Characters>
  <Lines>15</Lines>
  <Paragraphs>4</Paragraphs>
  <TotalTime>2</TotalTime>
  <ScaleCrop>false</ScaleCrop>
  <LinksUpToDate>false</LinksUpToDate>
  <CharactersWithSpaces>4229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2020-08-08T17:38:00Z</dcterms:created>
  <dc:creator>USER</dc:creator>
  <cp:lastModifiedBy>转身一世伤痕</cp:lastModifiedBy>
  <cp:lastPrinted>2024-12-06T13:53:00Z</cp:lastPrinted>
  <dcterms:modified xsi:type="dcterms:W3CDTF">2026-06-25T12:19:29Z</dcterms:modified>
  <dc:title>邀请函-阿拉丁中国铝业峰会-2016年8月</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3939B40F9C8840ECB98A2A5D80E45FAF_13</vt:lpwstr>
  </property>
  <property fmtid="{D5CDD505-2E9C-101B-9397-08002B2CF9AE}" pid="4" name="KSOTemplateDocerSaveRecord">
    <vt:lpwstr>eyJoZGlkIjoiMGIxOTAyM2M0YTk0ZGY1OTJjZmZiYTZhZTc5ZWJjY2MiLCJ1c2VySWQiOiI0MzI5Njk4NjIifQ==</vt:lpwstr>
  </property>
</Properties>
</file>